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D698E" w14:textId="77777777" w:rsidR="007930F4" w:rsidRDefault="007930F4">
      <w:pPr>
        <w:pStyle w:val="Title"/>
        <w:rPr>
          <w:b w:val="0"/>
          <w:bCs w:val="0"/>
        </w:rPr>
      </w:pPr>
      <w:bookmarkStart w:id="0" w:name="_GoBack"/>
      <w:bookmarkEnd w:id="0"/>
    </w:p>
    <w:p w14:paraId="110729CE" w14:textId="4A20803F" w:rsidR="007930F4" w:rsidRDefault="00B91638" w:rsidP="009305C3">
      <w:pPr>
        <w:pStyle w:val="bold"/>
      </w:pPr>
      <w:r>
        <w:t xml:space="preserve">Update on </w:t>
      </w:r>
      <w:r w:rsidR="004F3634">
        <w:t>the</w:t>
      </w:r>
      <w:r w:rsidR="00684C6C">
        <w:t xml:space="preserve"> Mangawhai Community</w:t>
      </w:r>
      <w:r w:rsidR="004F3634">
        <w:t xml:space="preserve"> </w:t>
      </w:r>
      <w:r w:rsidR="00684C6C">
        <w:t>Wastewater Scheme</w:t>
      </w:r>
      <w:r w:rsidR="00A001E5">
        <w:t xml:space="preserve"> (MCWWS)</w:t>
      </w:r>
      <w:r w:rsidR="00684C6C">
        <w:t xml:space="preserve"> </w:t>
      </w:r>
      <w:r w:rsidR="004F3634">
        <w:t>Advisory Pane</w:t>
      </w:r>
      <w:r w:rsidR="00904373">
        <w:t>l</w:t>
      </w:r>
      <w:r>
        <w:t>’s Recommendations</w:t>
      </w:r>
      <w:r w:rsidR="00F74AA4">
        <w:t xml:space="preserve"> – August 2017</w:t>
      </w:r>
    </w:p>
    <w:p w14:paraId="7C2312CF" w14:textId="40E8E37E" w:rsidR="00AC3319" w:rsidRPr="008E5FE5" w:rsidRDefault="00F92D82" w:rsidP="00684C6C">
      <w:pPr>
        <w:pStyle w:val="plain"/>
      </w:pPr>
      <w:r w:rsidRPr="00BE2C9A">
        <w:rPr>
          <w:rFonts w:cs="Arial"/>
          <w:bCs/>
        </w:rPr>
        <w:t xml:space="preserve">Council </w:t>
      </w:r>
      <w:r w:rsidR="002E0CF9" w:rsidRPr="00BE2C9A">
        <w:rPr>
          <w:rFonts w:cs="Arial"/>
          <w:bCs/>
        </w:rPr>
        <w:t xml:space="preserve">received </w:t>
      </w:r>
      <w:r w:rsidRPr="00BE2C9A">
        <w:rPr>
          <w:rFonts w:cs="Arial"/>
          <w:bCs/>
        </w:rPr>
        <w:t xml:space="preserve">the </w:t>
      </w:r>
      <w:r w:rsidR="00B91638">
        <w:rPr>
          <w:rFonts w:cs="Arial"/>
          <w:bCs/>
        </w:rPr>
        <w:t xml:space="preserve">Advisory </w:t>
      </w:r>
      <w:r w:rsidRPr="00BE2C9A">
        <w:rPr>
          <w:rFonts w:cs="Arial"/>
          <w:bCs/>
        </w:rPr>
        <w:t>Panel’s</w:t>
      </w:r>
      <w:r w:rsidR="002E0CF9" w:rsidRPr="00BE2C9A">
        <w:rPr>
          <w:rFonts w:cs="Arial"/>
          <w:bCs/>
        </w:rPr>
        <w:t xml:space="preserve"> report </w:t>
      </w:r>
      <w:r w:rsidRPr="00BE2C9A">
        <w:rPr>
          <w:rFonts w:cs="Arial"/>
          <w:bCs/>
        </w:rPr>
        <w:t>in July 2015.</w:t>
      </w:r>
      <w:r w:rsidR="00A001E5" w:rsidRPr="008E5FE5">
        <w:t xml:space="preserve">  </w:t>
      </w:r>
      <w:r w:rsidR="00B91638">
        <w:t>In June 2016 Council responded to the Report through an open letter to the community.</w:t>
      </w:r>
    </w:p>
    <w:p w14:paraId="086BBDE4" w14:textId="472699C5" w:rsidR="007930F4" w:rsidRDefault="00B91638" w:rsidP="009305C3">
      <w:pPr>
        <w:pStyle w:val="plain"/>
      </w:pPr>
      <w:r>
        <w:t xml:space="preserve">This document provides an update on the Panel’s recommendations.  As before the responses are </w:t>
      </w:r>
      <w:r w:rsidR="003662E8">
        <w:t>clustered under theme headings</w:t>
      </w:r>
      <w:r w:rsidR="002C3590">
        <w:t>.</w:t>
      </w:r>
    </w:p>
    <w:p w14:paraId="5D3672CE" w14:textId="6A77C08A" w:rsidR="00684C6C" w:rsidRDefault="00684C6C" w:rsidP="00684C6C">
      <w:pPr>
        <w:pStyle w:val="Heading1"/>
      </w:pPr>
      <w:r w:rsidRPr="008E5FE5">
        <w:t>1</w:t>
      </w:r>
      <w:r>
        <w:tab/>
      </w:r>
      <w:r w:rsidRPr="000C1392">
        <w:t>MAINTAINING GOOD MANGAWHAI HARBOUR WATER QUALITY</w:t>
      </w:r>
    </w:p>
    <w:p w14:paraId="0CDF24ED" w14:textId="77777777" w:rsidR="00684C6C" w:rsidRPr="00904526" w:rsidRDefault="00684C6C" w:rsidP="00684C6C">
      <w:pPr>
        <w:pStyle w:val="bodyitalic"/>
      </w:pPr>
      <w:r w:rsidRPr="001F65CF">
        <w:t>Council remains committed to protecting the harbour water quality.</w:t>
      </w:r>
    </w:p>
    <w:p w14:paraId="7D28770F" w14:textId="77777777" w:rsidR="00684C6C" w:rsidRDefault="00684C6C" w:rsidP="00684C6C">
      <w:pPr>
        <w:pStyle w:val="plain"/>
      </w:pPr>
      <w:r w:rsidRPr="006746AA">
        <w:rPr>
          <w:b/>
        </w:rPr>
        <w:t>Recommendation 06:</w:t>
      </w:r>
      <w:r>
        <w:t xml:space="preserve"> </w:t>
      </w:r>
      <w:r w:rsidRPr="00D31D34">
        <w:t>That KDC make connection to the MCWWS mandatory</w:t>
      </w:r>
      <w:r>
        <w:t xml:space="preserve"> for all within the MCWWS drainage district – irrespective of the distance from the marine environment or the size of the section</w:t>
      </w:r>
      <w:r w:rsidRPr="00D31D34">
        <w:t>.</w:t>
      </w:r>
      <w:r>
        <w:t xml:space="preserve">                              </w:t>
      </w:r>
    </w:p>
    <w:p w14:paraId="146C7602" w14:textId="77777777" w:rsidR="00684C6C" w:rsidRDefault="00684C6C" w:rsidP="00684C6C">
      <w:pPr>
        <w:pStyle w:val="plain"/>
      </w:pPr>
      <w:r w:rsidRPr="006746AA">
        <w:rPr>
          <w:b/>
        </w:rPr>
        <w:t>Recommendation 09:</w:t>
      </w:r>
      <w:r>
        <w:t xml:space="preserve"> </w:t>
      </w:r>
      <w:r w:rsidRPr="00D31D34">
        <w:t xml:space="preserve">That KDC </w:t>
      </w:r>
      <w:r>
        <w:t>pass a bylaw requiring a six</w:t>
      </w:r>
      <w:r>
        <w:noBreakHyphen/>
        <w:t>monthly Independent Inspection and Maintenance Certificate for all onsite systems, at the property owner’s cost.</w:t>
      </w:r>
    </w:p>
    <w:p w14:paraId="1FF7F26F" w14:textId="3F788724" w:rsidR="00684C6C" w:rsidRDefault="00684C6C" w:rsidP="00684C6C">
      <w:pPr>
        <w:pStyle w:val="plain"/>
      </w:pPr>
      <w:r w:rsidRPr="006746AA">
        <w:rPr>
          <w:b/>
        </w:rPr>
        <w:t>Recommendation 10:</w:t>
      </w:r>
      <w:r>
        <w:t xml:space="preserve"> </w:t>
      </w:r>
      <w:r w:rsidRPr="00E24871">
        <w:t xml:space="preserve">That KDC develop </w:t>
      </w:r>
      <w:r>
        <w:t xml:space="preserve">and </w:t>
      </w:r>
      <w:r w:rsidRPr="00E24871">
        <w:t xml:space="preserve">implement a Connections Policy </w:t>
      </w:r>
      <w:r>
        <w:t>by 1 July 2016</w:t>
      </w:r>
      <w:r w:rsidR="00F92D82">
        <w:t>.</w:t>
      </w:r>
      <w:r>
        <w:t xml:space="preserve"> </w:t>
      </w:r>
    </w:p>
    <w:p w14:paraId="061C5FA6" w14:textId="77777777" w:rsidR="00684C6C" w:rsidRPr="00F266CD" w:rsidRDefault="00684C6C" w:rsidP="00684C6C">
      <w:pPr>
        <w:pStyle w:val="bodyitalic"/>
      </w:pPr>
      <w:r w:rsidRPr="00F266CD">
        <w:t>Council Response:</w:t>
      </w:r>
    </w:p>
    <w:p w14:paraId="2B41B7F5" w14:textId="216CE9B1" w:rsidR="001E698F" w:rsidRDefault="001E698F" w:rsidP="001E698F">
      <w:pPr>
        <w:pStyle w:val="bodyitalic"/>
      </w:pPr>
      <w:r>
        <w:t xml:space="preserve">While </w:t>
      </w:r>
      <w:r w:rsidR="00684C6C" w:rsidRPr="00F266CD">
        <w:t xml:space="preserve">Council </w:t>
      </w:r>
      <w:r>
        <w:t>would like to make connection mandatory</w:t>
      </w:r>
      <w:r w:rsidR="008501C4">
        <w:t>,</w:t>
      </w:r>
      <w:r>
        <w:t xml:space="preserve"> legal advice suggests that this </w:t>
      </w:r>
      <w:r w:rsidR="005D2482">
        <w:t xml:space="preserve">may not be possible </w:t>
      </w:r>
      <w:r>
        <w:t xml:space="preserve">if </w:t>
      </w:r>
      <w:r w:rsidR="0044080C">
        <w:t>a property has</w:t>
      </w:r>
      <w:r>
        <w:t xml:space="preserve"> an adequate on-site system. </w:t>
      </w:r>
    </w:p>
    <w:p w14:paraId="0E42F081" w14:textId="67DE950C" w:rsidR="003E6C35" w:rsidRDefault="00B91638" w:rsidP="00684C6C">
      <w:pPr>
        <w:pStyle w:val="bodyitalic"/>
      </w:pPr>
      <w:r>
        <w:t xml:space="preserve">Council adopted a Wastewater Drainage Policy and </w:t>
      </w:r>
      <w:r w:rsidRPr="00F266CD">
        <w:t xml:space="preserve">Wastewater Drainage </w:t>
      </w:r>
      <w:r>
        <w:t>Bylaw in September 2016.</w:t>
      </w:r>
      <w:r w:rsidR="003E6C35">
        <w:t xml:space="preserve">  </w:t>
      </w:r>
      <w:r w:rsidR="003E6C35">
        <w:rPr>
          <w:szCs w:val="20"/>
        </w:rPr>
        <w:t>The Bylaw places obligations on persons using public and private wastewater systems and provides clarity on all steps to be taken to connect to public systems and to operate and maintain private systems.</w:t>
      </w:r>
      <w:r w:rsidR="001E698F">
        <w:rPr>
          <w:szCs w:val="20"/>
        </w:rPr>
        <w:t xml:space="preserve">  Owners of onsite wastewater treatment systems in the Kaipara district must ensure that private onsite wastewater disposal systems are installed, operated, repaired or extended, and is done so under the required standards of Council, and that they are assessed and maintained at regular intervals as required under the WOF programme.</w:t>
      </w:r>
    </w:p>
    <w:p w14:paraId="2D21A780" w14:textId="5228F09F" w:rsidR="001E698F" w:rsidRDefault="00684C6C" w:rsidP="004F30E4">
      <w:pPr>
        <w:pStyle w:val="bodyitalic"/>
      </w:pPr>
      <w:r w:rsidRPr="00F266CD">
        <w:t xml:space="preserve">Council has modified the Warrant of Fitness cycle period to </w:t>
      </w:r>
      <w:r>
        <w:t>three </w:t>
      </w:r>
      <w:r w:rsidRPr="00F266CD">
        <w:t>years believing that to be industry best practice.</w:t>
      </w:r>
    </w:p>
    <w:p w14:paraId="07A3DE47" w14:textId="5FC44950" w:rsidR="001E698F" w:rsidRPr="00F266CD" w:rsidRDefault="001E698F" w:rsidP="004F30E4">
      <w:pPr>
        <w:pStyle w:val="bodyitalic"/>
      </w:pPr>
      <w:r>
        <w:t>Council is looking at options for connection as part of the 2018 Long Term Plan</w:t>
      </w:r>
      <w:r w:rsidR="008501C4">
        <w:t>.</w:t>
      </w:r>
    </w:p>
    <w:p w14:paraId="0FD9F506" w14:textId="2BD2A862" w:rsidR="0039223E" w:rsidRDefault="0039223E" w:rsidP="0039223E">
      <w:pPr>
        <w:pStyle w:val="plain"/>
      </w:pPr>
      <w:r w:rsidRPr="00431629">
        <w:rPr>
          <w:b/>
        </w:rPr>
        <w:t>Recommendation 13:</w:t>
      </w:r>
      <w:r>
        <w:t xml:space="preserve"> That prioritisation of extensions to the reticulation lines that permi</w:t>
      </w:r>
      <w:r w:rsidR="00BF4DA2">
        <w:t xml:space="preserve">t connection </w:t>
      </w:r>
      <w:r>
        <w:t>of properties within 300m of the marine environment should occur.</w:t>
      </w:r>
    </w:p>
    <w:p w14:paraId="677A3C79" w14:textId="6C866E76" w:rsidR="0044080C" w:rsidRPr="0044080C" w:rsidRDefault="0039223E" w:rsidP="0044080C">
      <w:pPr>
        <w:pStyle w:val="bodyindent"/>
        <w:ind w:left="0"/>
        <w:jc w:val="left"/>
        <w:rPr>
          <w:i/>
        </w:rPr>
      </w:pPr>
      <w:r w:rsidRPr="0044080C">
        <w:rPr>
          <w:i/>
        </w:rPr>
        <w:t xml:space="preserve">Council Response: </w:t>
      </w:r>
      <w:r w:rsidR="0044080C" w:rsidRPr="0044080C">
        <w:rPr>
          <w:i/>
        </w:rPr>
        <w:t>Six options were originally considered; four of those options have been modelled</w:t>
      </w:r>
      <w:r w:rsidR="008E0277">
        <w:rPr>
          <w:i/>
        </w:rPr>
        <w:t xml:space="preserve"> for this current stage</w:t>
      </w:r>
      <w:r w:rsidR="0044080C" w:rsidRPr="0044080C">
        <w:rPr>
          <w:i/>
        </w:rPr>
        <w:t xml:space="preserve">.  The </w:t>
      </w:r>
      <w:r w:rsidRPr="0044080C">
        <w:rPr>
          <w:i/>
        </w:rPr>
        <w:t xml:space="preserve">Ecological extension’ (all properties within </w:t>
      </w:r>
      <w:r w:rsidR="0044080C" w:rsidRPr="0044080C">
        <w:rPr>
          <w:i/>
        </w:rPr>
        <w:t>300m of the marine environment) included extending the disposal system, upgrading existing reticulation, extending reticulation over 8 years and upgrading the treatment plant.  This would give capacity for 3,300 connections and the cost over 10 years is estimated at $16.35 million.  The Ecological option has very high costs versus relative benefits</w:t>
      </w:r>
      <w:r w:rsidR="008E0277">
        <w:rPr>
          <w:i/>
        </w:rPr>
        <w:t xml:space="preserve"> and may not meet current demand for connections</w:t>
      </w:r>
      <w:r w:rsidR="0044080C" w:rsidRPr="0044080C">
        <w:rPr>
          <w:i/>
        </w:rPr>
        <w:t>.</w:t>
      </w:r>
    </w:p>
    <w:p w14:paraId="194B080E" w14:textId="677695AB" w:rsidR="0044080C" w:rsidRPr="008E5FE5" w:rsidRDefault="0044080C" w:rsidP="00DD1260">
      <w:pPr>
        <w:pStyle w:val="bodyitalic"/>
      </w:pPr>
      <w:r>
        <w:lastRenderedPageBreak/>
        <w:t xml:space="preserve">The Wastewater Drainage Policy and </w:t>
      </w:r>
      <w:r w:rsidRPr="00F266CD">
        <w:t xml:space="preserve">Wastewater Drainage </w:t>
      </w:r>
      <w:r>
        <w:t>Bylaw will also apply to properties within 300m of Mangawhai Harbour and in the Drainage District but not connected to the scheme.</w:t>
      </w:r>
    </w:p>
    <w:p w14:paraId="665F10D8" w14:textId="10B4ED3D" w:rsidR="00CF5F8D" w:rsidRPr="00CF5F8D" w:rsidRDefault="00CC5F0E" w:rsidP="002A5095">
      <w:pPr>
        <w:pStyle w:val="Heading1"/>
      </w:pPr>
      <w:r w:rsidRPr="008E5FE5">
        <w:t>2</w:t>
      </w:r>
      <w:r w:rsidRPr="008E5FE5">
        <w:tab/>
      </w:r>
      <w:r w:rsidR="00CF5F8D" w:rsidRPr="008E5FE5">
        <w:t>ENSURING DISPOSAL QUALITY AND CAPACITY IS SUFFICIENT</w:t>
      </w:r>
    </w:p>
    <w:p w14:paraId="0291E236" w14:textId="0DE54AD2" w:rsidR="00904526" w:rsidRPr="00904526" w:rsidRDefault="00904526" w:rsidP="007D65DB">
      <w:pPr>
        <w:pStyle w:val="bodyitalic"/>
      </w:pPr>
      <w:r w:rsidRPr="001F65CF">
        <w:t xml:space="preserve">Council is well positioned to understand the wastewater infrastructure and how to optimise </w:t>
      </w:r>
      <w:r w:rsidR="00F92D82">
        <w:t>its</w:t>
      </w:r>
      <w:r w:rsidR="00F92D82" w:rsidRPr="001F65CF">
        <w:t xml:space="preserve"> </w:t>
      </w:r>
      <w:r w:rsidRPr="001F65CF">
        <w:t>use.</w:t>
      </w:r>
    </w:p>
    <w:p w14:paraId="10F8699C" w14:textId="77777777" w:rsidR="00DD7C06" w:rsidRDefault="00DD7C06" w:rsidP="00DD7C06">
      <w:pPr>
        <w:pStyle w:val="plain"/>
      </w:pPr>
      <w:r w:rsidRPr="006746AA">
        <w:rPr>
          <w:b/>
        </w:rPr>
        <w:t>Recommendation 03:</w:t>
      </w:r>
      <w:r>
        <w:t xml:space="preserve"> That all grinder pumps are vested in KDC ownership.</w:t>
      </w:r>
    </w:p>
    <w:p w14:paraId="24F841D7" w14:textId="77777777" w:rsidR="00DD7C06" w:rsidRDefault="00DD7C06" w:rsidP="00DD7C06">
      <w:pPr>
        <w:pStyle w:val="plain"/>
      </w:pPr>
      <w:r w:rsidRPr="006746AA">
        <w:rPr>
          <w:b/>
        </w:rPr>
        <w:t>Recommendation 04:</w:t>
      </w:r>
      <w:r>
        <w:t xml:space="preserve"> That all maintenance and repair costs reside with KDC other than for damage caused through misuse.</w:t>
      </w:r>
    </w:p>
    <w:p w14:paraId="23ACBBCE" w14:textId="407999AA" w:rsidR="00AF32E6" w:rsidRPr="00AF32E6" w:rsidRDefault="00AF32E6" w:rsidP="00DD7C06">
      <w:pPr>
        <w:pStyle w:val="plain"/>
        <w:rPr>
          <w:i/>
        </w:rPr>
      </w:pPr>
      <w:r w:rsidRPr="00B80706">
        <w:rPr>
          <w:i/>
        </w:rPr>
        <w:t xml:space="preserve">Council Response:  Council </w:t>
      </w:r>
      <w:r w:rsidR="00EB4BB4">
        <w:rPr>
          <w:i/>
        </w:rPr>
        <w:t>supports the principle</w:t>
      </w:r>
      <w:r w:rsidR="00A60D28">
        <w:rPr>
          <w:i/>
        </w:rPr>
        <w:t xml:space="preserve"> and is in the </w:t>
      </w:r>
      <w:r w:rsidR="00EB4BB4">
        <w:rPr>
          <w:i/>
        </w:rPr>
        <w:t>d</w:t>
      </w:r>
      <w:r w:rsidR="00A60D28">
        <w:rPr>
          <w:i/>
        </w:rPr>
        <w:t>raft stages of developing a Connections</w:t>
      </w:r>
      <w:r w:rsidRPr="00B80706">
        <w:rPr>
          <w:i/>
        </w:rPr>
        <w:t xml:space="preserve"> Policy </w:t>
      </w:r>
      <w:r w:rsidR="00A60D28">
        <w:rPr>
          <w:i/>
        </w:rPr>
        <w:t xml:space="preserve">which </w:t>
      </w:r>
      <w:r w:rsidR="00F64E00" w:rsidRPr="00B80706">
        <w:rPr>
          <w:i/>
        </w:rPr>
        <w:t xml:space="preserve">will </w:t>
      </w:r>
      <w:r w:rsidR="00A60D28">
        <w:rPr>
          <w:i/>
        </w:rPr>
        <w:t xml:space="preserve">outline </w:t>
      </w:r>
      <w:r w:rsidR="00EB4BB4">
        <w:rPr>
          <w:i/>
        </w:rPr>
        <w:t xml:space="preserve">responsibilities for </w:t>
      </w:r>
      <w:r w:rsidR="00A60D28">
        <w:rPr>
          <w:i/>
        </w:rPr>
        <w:t>private connection and maintenance costs.  The Policy</w:t>
      </w:r>
      <w:r w:rsidR="00F64E00" w:rsidRPr="00B80706">
        <w:rPr>
          <w:i/>
        </w:rPr>
        <w:t xml:space="preserve"> </w:t>
      </w:r>
      <w:r w:rsidR="00A60D28">
        <w:rPr>
          <w:i/>
        </w:rPr>
        <w:t xml:space="preserve">will </w:t>
      </w:r>
      <w:r w:rsidR="00874E40">
        <w:rPr>
          <w:i/>
        </w:rPr>
        <w:t xml:space="preserve">form part of </w:t>
      </w:r>
      <w:r w:rsidR="00A60D28">
        <w:rPr>
          <w:i/>
        </w:rPr>
        <w:t>the 2018 Long Term Plan</w:t>
      </w:r>
      <w:r w:rsidR="00874E40">
        <w:rPr>
          <w:i/>
        </w:rPr>
        <w:t xml:space="preserve"> process</w:t>
      </w:r>
      <w:r w:rsidRPr="00B80706">
        <w:rPr>
          <w:i/>
        </w:rPr>
        <w:t>.</w:t>
      </w:r>
    </w:p>
    <w:p w14:paraId="792BD125" w14:textId="6D323354" w:rsidR="005709C5" w:rsidRDefault="00431629" w:rsidP="00872784">
      <w:pPr>
        <w:pStyle w:val="plain"/>
      </w:pPr>
      <w:r w:rsidRPr="00431629">
        <w:rPr>
          <w:b/>
        </w:rPr>
        <w:t>Recommendation 14:</w:t>
      </w:r>
      <w:r w:rsidR="006F668A">
        <w:rPr>
          <w:b/>
        </w:rPr>
        <w:t xml:space="preserve"> </w:t>
      </w:r>
      <w:r w:rsidR="005709C5">
        <w:t>That alternative uses for the solid waste materials are investigated to see if a cost</w:t>
      </w:r>
      <w:r w:rsidR="006F668A">
        <w:noBreakHyphen/>
      </w:r>
      <w:r w:rsidR="005709C5">
        <w:t xml:space="preserve">effective solution with enhanced environmental outcomes could be achieved.  </w:t>
      </w:r>
    </w:p>
    <w:p w14:paraId="1C328F62" w14:textId="1A28D19C" w:rsidR="00EE0B72" w:rsidRPr="004F5C83" w:rsidRDefault="00D606CC" w:rsidP="007D65DB">
      <w:pPr>
        <w:pStyle w:val="bodyitalic"/>
      </w:pPr>
      <w:r w:rsidRPr="004F5C83">
        <w:t xml:space="preserve">Council </w:t>
      </w:r>
      <w:r w:rsidR="0047208E" w:rsidRPr="004F5C83">
        <w:t>Response:</w:t>
      </w:r>
      <w:r w:rsidR="0054685B" w:rsidRPr="004F5C83">
        <w:t xml:space="preserve"> </w:t>
      </w:r>
      <w:r w:rsidR="006F668A">
        <w:t xml:space="preserve"> </w:t>
      </w:r>
      <w:r w:rsidR="0054685B" w:rsidRPr="004F5C83">
        <w:t xml:space="preserve">Council agrees, </w:t>
      </w:r>
      <w:r w:rsidR="006F668A">
        <w:t>however a cost</w:t>
      </w:r>
      <w:r w:rsidR="006F668A">
        <w:noBreakHyphen/>
      </w:r>
      <w:r w:rsidR="0054685B" w:rsidRPr="004F5C83">
        <w:t>effective alternative</w:t>
      </w:r>
      <w:r w:rsidR="00A60D28" w:rsidRPr="00A60D28">
        <w:t xml:space="preserve"> </w:t>
      </w:r>
      <w:r w:rsidR="00A60D28">
        <w:t xml:space="preserve">has still not </w:t>
      </w:r>
      <w:r w:rsidR="00874E40">
        <w:t xml:space="preserve">yet </w:t>
      </w:r>
      <w:r w:rsidR="00A60D28">
        <w:t>been identified.</w:t>
      </w:r>
      <w:r w:rsidR="007A383C">
        <w:t xml:space="preserve">  This is considered a lower priority at present and will be addressed once the higher priority issues have been addressed.</w:t>
      </w:r>
    </w:p>
    <w:p w14:paraId="22F80946" w14:textId="75BB3AD8" w:rsidR="005709C5" w:rsidRDefault="00B358F8" w:rsidP="00872784">
      <w:pPr>
        <w:pStyle w:val="plain"/>
      </w:pPr>
      <w:r w:rsidRPr="00B358F8">
        <w:rPr>
          <w:b/>
        </w:rPr>
        <w:t>Recommendation 16:</w:t>
      </w:r>
      <w:r>
        <w:t xml:space="preserve"> </w:t>
      </w:r>
      <w:r w:rsidR="005709C5">
        <w:t>That KDC undertake a detailed geological assessment of both the Mangawhai Community Park and the golf course, and then update soakage estimates to determine the viability of these long term disposal options.  This work to be completed in the next 12</w:t>
      </w:r>
      <w:r w:rsidR="006F668A">
        <w:t> </w:t>
      </w:r>
      <w:r w:rsidR="005709C5">
        <w:t>months.</w:t>
      </w:r>
    </w:p>
    <w:p w14:paraId="50A2967B" w14:textId="068A66FD" w:rsidR="005709C5" w:rsidRDefault="00B358F8" w:rsidP="00872784">
      <w:pPr>
        <w:pStyle w:val="plain"/>
      </w:pPr>
      <w:r w:rsidRPr="00B358F8">
        <w:rPr>
          <w:b/>
        </w:rPr>
        <w:t>Recommendation 17:</w:t>
      </w:r>
      <w:r>
        <w:t xml:space="preserve"> </w:t>
      </w:r>
      <w:r w:rsidR="005709C5">
        <w:t>That, before progressing investigations for disposal of effluent on the golf course, KDC and the Club agree a terms of reference outlining who would be responsible for factors</w:t>
      </w:r>
      <w:r w:rsidR="00DD1260">
        <w:t xml:space="preserve"> </w:t>
      </w:r>
      <w:r w:rsidR="005709C5">
        <w:t>such as installation, maintenance and operating costs; liability for pollution of groundwater; who would operate the scheme; what would be the order of installation of the irrigation etc</w:t>
      </w:r>
      <w:r w:rsidR="00D443F4">
        <w:t>etera</w:t>
      </w:r>
      <w:r w:rsidR="005709C5">
        <w:t>.</w:t>
      </w:r>
    </w:p>
    <w:p w14:paraId="35C2CD3C" w14:textId="38FD6162" w:rsidR="005709C5" w:rsidRDefault="00B358F8" w:rsidP="00872784">
      <w:pPr>
        <w:pStyle w:val="plain"/>
      </w:pPr>
      <w:r w:rsidRPr="00B358F8">
        <w:rPr>
          <w:b/>
        </w:rPr>
        <w:t>Recommendation 18:</w:t>
      </w:r>
      <w:r>
        <w:t xml:space="preserve"> </w:t>
      </w:r>
      <w:r w:rsidR="005709C5">
        <w:t>That further work on both the soakage capacity and a refined costing for Mangawhai Community Park and the Golf Course is required before further consultation occurs.</w:t>
      </w:r>
    </w:p>
    <w:p w14:paraId="10C94A86" w14:textId="2C863A38" w:rsidR="00337F96" w:rsidRDefault="00B358F8" w:rsidP="00872784">
      <w:pPr>
        <w:pStyle w:val="plain"/>
      </w:pPr>
      <w:r w:rsidRPr="00B358F8">
        <w:rPr>
          <w:b/>
        </w:rPr>
        <w:t>Recommendation 20:</w:t>
      </w:r>
      <w:r>
        <w:t xml:space="preserve"> </w:t>
      </w:r>
      <w:r w:rsidR="00337F96">
        <w:t>That, assuming irrigation is a viable option, the order to install over the following 5-20 years is:</w:t>
      </w:r>
    </w:p>
    <w:p w14:paraId="153CA357" w14:textId="77777777" w:rsidR="00337F96" w:rsidRPr="00337F96" w:rsidRDefault="00337F96" w:rsidP="00D443F4">
      <w:pPr>
        <w:pStyle w:val="bullet"/>
      </w:pPr>
      <w:r w:rsidRPr="00337F96">
        <w:t>Mangawhai Community Park (surface trickle irrigation)</w:t>
      </w:r>
    </w:p>
    <w:p w14:paraId="5252FDF9" w14:textId="77777777" w:rsidR="00337F96" w:rsidRPr="00337F96" w:rsidRDefault="00337F96" w:rsidP="00D443F4">
      <w:pPr>
        <w:pStyle w:val="bullet"/>
      </w:pPr>
      <w:r w:rsidRPr="00337F96">
        <w:t>Trees and similar off-course areas of the Golf Course (surface trickle irrigation)</w:t>
      </w:r>
    </w:p>
    <w:p w14:paraId="54E60A3B" w14:textId="77777777" w:rsidR="00337F96" w:rsidRPr="00337F96" w:rsidRDefault="00337F96" w:rsidP="00D443F4">
      <w:pPr>
        <w:pStyle w:val="bullet"/>
      </w:pPr>
      <w:r w:rsidRPr="00337F96">
        <w:t>Driving Range of the Golf Course (sub surface irrigation)</w:t>
      </w:r>
    </w:p>
    <w:p w14:paraId="18234BEF" w14:textId="3271E5AF" w:rsidR="00337F96" w:rsidRPr="00337F96" w:rsidRDefault="00337F96" w:rsidP="00D443F4">
      <w:pPr>
        <w:pStyle w:val="bullet"/>
      </w:pPr>
      <w:r w:rsidRPr="00337F96">
        <w:t>Fairways of the Golf Course (sub surface irrigation)</w:t>
      </w:r>
      <w:r w:rsidR="00D443F4">
        <w:t>.</w:t>
      </w:r>
    </w:p>
    <w:p w14:paraId="1D24C2C7" w14:textId="42CB5074" w:rsidR="005709C5" w:rsidRDefault="00337F96" w:rsidP="00872784">
      <w:pPr>
        <w:pStyle w:val="plain"/>
      </w:pPr>
      <w:r>
        <w:t>If irrigation is not viable in conjunction with the farm irrigation, then progress investigations around the Ocean Outfall, acknowledging Iwi objections</w:t>
      </w:r>
      <w:r w:rsidR="004F30E4">
        <w:t xml:space="preserve"> to new disposal sites</w:t>
      </w:r>
      <w:r>
        <w:t>.</w:t>
      </w:r>
    </w:p>
    <w:p w14:paraId="456522FD" w14:textId="32A088A5" w:rsidR="004F30E4" w:rsidRDefault="00EA07F7" w:rsidP="00EA07F7">
      <w:pPr>
        <w:pStyle w:val="bodyitalic"/>
      </w:pPr>
      <w:r w:rsidRPr="008E5FE5">
        <w:t xml:space="preserve">Council Response: </w:t>
      </w:r>
      <w:r w:rsidR="004F30E4">
        <w:t>Council has had the farm assessed and found that there is sufficient capacity for disposal for some years to come. This allows greater time to assess other options</w:t>
      </w:r>
      <w:r w:rsidR="00FE0D5C">
        <w:t>.</w:t>
      </w:r>
    </w:p>
    <w:p w14:paraId="7C489E19" w14:textId="77777777" w:rsidR="008E0277" w:rsidRDefault="009D0BB6" w:rsidP="00EA07F7">
      <w:pPr>
        <w:pStyle w:val="bodyitalic"/>
      </w:pPr>
      <w:r w:rsidRPr="008E5FE5">
        <w:t xml:space="preserve">The preliminary assessment indicated that whilst the clean sands of the golf course are likely to provide sufficient infiltration capacity for irrigation, the presence </w:t>
      </w:r>
      <w:r w:rsidR="00B72CAD">
        <w:t xml:space="preserve">of underlying </w:t>
      </w:r>
      <w:r w:rsidR="00B72CAD" w:rsidRPr="00EF1E76">
        <w:t>lower permeable</w:t>
      </w:r>
      <w:r w:rsidRPr="00EF1E76">
        <w:t xml:space="preserve"> soils</w:t>
      </w:r>
      <w:r w:rsidRPr="008E5FE5">
        <w:t xml:space="preserve"> </w:t>
      </w:r>
      <w:r w:rsidRPr="008E5FE5">
        <w:lastRenderedPageBreak/>
        <w:t>indicated the long term sustainability of an effluent irrigation scheme is likely to be limited more by the capacity of the broader groundwater system than by surface infiltration capacity.</w:t>
      </w:r>
    </w:p>
    <w:p w14:paraId="780890DF" w14:textId="7F9BB9FD" w:rsidR="009D0BB6" w:rsidRDefault="008E0277" w:rsidP="00EA07F7">
      <w:pPr>
        <w:pStyle w:val="bodyitalic"/>
      </w:pPr>
      <w:r>
        <w:t>Further details are set out in the attachment.</w:t>
      </w:r>
    </w:p>
    <w:p w14:paraId="47255040" w14:textId="24C5CD22" w:rsidR="00EA07F7" w:rsidRPr="008E5FE5" w:rsidRDefault="00A60D28" w:rsidP="00CB19F3">
      <w:pPr>
        <w:pStyle w:val="bodyitalic"/>
      </w:pPr>
      <w:r>
        <w:t xml:space="preserve">Alternative land based options around Mangawhai will also be investigated. </w:t>
      </w:r>
    </w:p>
    <w:p w14:paraId="0F67D819" w14:textId="716BB493" w:rsidR="00D547A6" w:rsidRPr="008E5FE5" w:rsidRDefault="00B358F8" w:rsidP="00872784">
      <w:pPr>
        <w:pStyle w:val="plain"/>
      </w:pPr>
      <w:r w:rsidRPr="008E5FE5">
        <w:rPr>
          <w:b/>
        </w:rPr>
        <w:t>Recommendation 21:</w:t>
      </w:r>
      <w:r w:rsidRPr="008E5FE5">
        <w:t xml:space="preserve"> </w:t>
      </w:r>
      <w:r w:rsidR="00D547A6" w:rsidRPr="008E5FE5">
        <w:t>That the 65</w:t>
      </w:r>
      <w:r w:rsidR="00D443F4" w:rsidRPr="008E5FE5">
        <w:t> h</w:t>
      </w:r>
      <w:r w:rsidR="00D547A6" w:rsidRPr="008E5FE5">
        <w:t>a of irrigable land at Lincoln Downs Farm be retained in KDC ownership for the foreseeable future – even if not all of it is needed for irrigation at present.</w:t>
      </w:r>
    </w:p>
    <w:p w14:paraId="0351A4FD" w14:textId="4B636103" w:rsidR="00EA07F7" w:rsidRDefault="00C53AFC" w:rsidP="00CB19F3">
      <w:pPr>
        <w:pStyle w:val="bodyitalic"/>
      </w:pPr>
      <w:r w:rsidRPr="008E5FE5">
        <w:t xml:space="preserve">Council </w:t>
      </w:r>
      <w:r w:rsidR="0047208E" w:rsidRPr="008E5FE5">
        <w:t>Response:</w:t>
      </w:r>
      <w:r w:rsidR="00B92763" w:rsidRPr="008E5FE5">
        <w:t xml:space="preserve"> </w:t>
      </w:r>
      <w:r w:rsidR="000566D5" w:rsidRPr="008E5FE5">
        <w:t>Council a</w:t>
      </w:r>
      <w:r w:rsidR="00B92763" w:rsidRPr="008E5FE5">
        <w:t>gree</w:t>
      </w:r>
      <w:r w:rsidR="000566D5" w:rsidRPr="008E5FE5">
        <w:t>s</w:t>
      </w:r>
      <w:r w:rsidR="00F92D82">
        <w:t xml:space="preserve">. </w:t>
      </w:r>
      <w:r w:rsidR="00EA07F7" w:rsidRPr="008E5FE5">
        <w:t xml:space="preserve"> </w:t>
      </w:r>
      <w:r w:rsidR="00F92D82">
        <w:t>T</w:t>
      </w:r>
      <w:r w:rsidR="00EA07F7" w:rsidRPr="008E5FE5">
        <w:t xml:space="preserve">he </w:t>
      </w:r>
      <w:r w:rsidR="007D03C7" w:rsidRPr="008E5FE5">
        <w:t xml:space="preserve">steeper native </w:t>
      </w:r>
      <w:r w:rsidR="00EA07F7" w:rsidRPr="008E5FE5">
        <w:t>bush area o</w:t>
      </w:r>
      <w:r w:rsidR="007D03C7" w:rsidRPr="008E5FE5">
        <w:t>n the upper reaches of</w:t>
      </w:r>
      <w:r w:rsidR="00EA07F7" w:rsidRPr="008E5FE5">
        <w:t xml:space="preserve"> the farm </w:t>
      </w:r>
      <w:r w:rsidR="00F92D82">
        <w:t>could</w:t>
      </w:r>
      <w:r w:rsidR="00F92D82" w:rsidRPr="008E5FE5">
        <w:t xml:space="preserve"> </w:t>
      </w:r>
      <w:r w:rsidR="007D03C7" w:rsidRPr="008E5FE5">
        <w:t xml:space="preserve">be set aside </w:t>
      </w:r>
      <w:r w:rsidR="008E0277">
        <w:t xml:space="preserve">for alternative uses, which may include </w:t>
      </w:r>
      <w:r w:rsidR="00EA07F7" w:rsidRPr="008E5FE5">
        <w:t>recreational facilities</w:t>
      </w:r>
      <w:r w:rsidR="007D03C7" w:rsidRPr="008E5FE5">
        <w:t>.</w:t>
      </w:r>
    </w:p>
    <w:p w14:paraId="321640C0" w14:textId="77777777" w:rsidR="00EF77C4" w:rsidRPr="00D16671" w:rsidRDefault="00EF77C4" w:rsidP="00EF77C4">
      <w:pPr>
        <w:pStyle w:val="Heading1"/>
      </w:pPr>
      <w:r>
        <w:t>3</w:t>
      </w:r>
      <w:r>
        <w:tab/>
      </w:r>
      <w:r w:rsidRPr="000C1392">
        <w:t>ENSURING THERE IS CAPACITY FOR FUTURE GROWTH IN MANGAWHAI</w:t>
      </w:r>
    </w:p>
    <w:p w14:paraId="1ABED720" w14:textId="39986174" w:rsidR="00EF77C4" w:rsidRDefault="00EF77C4" w:rsidP="00EF77C4">
      <w:pPr>
        <w:pStyle w:val="plain"/>
        <w:rPr>
          <w:i/>
        </w:rPr>
      </w:pPr>
      <w:r w:rsidRPr="008E5FE5">
        <w:rPr>
          <w:i/>
        </w:rPr>
        <w:t xml:space="preserve">Council intends managing the investment in infrastructure assets to accommodate future growth. </w:t>
      </w:r>
    </w:p>
    <w:p w14:paraId="06A4D676" w14:textId="6BC8D972" w:rsidR="00D41B08" w:rsidRDefault="00997C23" w:rsidP="00EF77C4">
      <w:pPr>
        <w:pStyle w:val="plain"/>
        <w:rPr>
          <w:i/>
        </w:rPr>
      </w:pPr>
      <w:r w:rsidRPr="008E5FE5">
        <w:rPr>
          <w:i/>
        </w:rPr>
        <w:t xml:space="preserve">Council </w:t>
      </w:r>
      <w:r w:rsidR="009869EA">
        <w:rPr>
          <w:i/>
        </w:rPr>
        <w:t>projects that</w:t>
      </w:r>
      <w:r w:rsidRPr="008E5FE5">
        <w:rPr>
          <w:i/>
        </w:rPr>
        <w:t xml:space="preserve"> growth </w:t>
      </w:r>
      <w:r w:rsidR="009869EA">
        <w:rPr>
          <w:i/>
        </w:rPr>
        <w:t>will be between</w:t>
      </w:r>
      <w:r w:rsidRPr="008E5FE5">
        <w:rPr>
          <w:i/>
        </w:rPr>
        <w:t xml:space="preserve"> 49 </w:t>
      </w:r>
      <w:r w:rsidR="009869EA">
        <w:rPr>
          <w:i/>
        </w:rPr>
        <w:t>and</w:t>
      </w:r>
      <w:r w:rsidRPr="008E5FE5">
        <w:rPr>
          <w:i/>
        </w:rPr>
        <w:t xml:space="preserve"> 85 new dwellings per year.  </w:t>
      </w:r>
      <w:r w:rsidR="00D41B08" w:rsidRPr="008E5FE5">
        <w:rPr>
          <w:i/>
        </w:rPr>
        <w:t>Dwelling growth in the catchment area</w:t>
      </w:r>
      <w:r w:rsidR="00575F03" w:rsidRPr="008E5FE5">
        <w:rPr>
          <w:i/>
        </w:rPr>
        <w:t xml:space="preserve">, over </w:t>
      </w:r>
      <w:r w:rsidR="0017546B" w:rsidRPr="008E5FE5">
        <w:rPr>
          <w:i/>
        </w:rPr>
        <w:t>the past 12 years</w:t>
      </w:r>
      <w:r w:rsidR="00575F03" w:rsidRPr="008E5FE5">
        <w:rPr>
          <w:i/>
        </w:rPr>
        <w:t>,</w:t>
      </w:r>
      <w:r w:rsidR="0017546B" w:rsidRPr="008E5FE5">
        <w:rPr>
          <w:i/>
        </w:rPr>
        <w:t xml:space="preserve"> </w:t>
      </w:r>
      <w:r w:rsidR="00D41B08" w:rsidRPr="008E5FE5">
        <w:rPr>
          <w:i/>
        </w:rPr>
        <w:t xml:space="preserve">has been </w:t>
      </w:r>
      <w:r w:rsidR="00F92D82">
        <w:rPr>
          <w:i/>
        </w:rPr>
        <w:t>averaged</w:t>
      </w:r>
      <w:r w:rsidR="00F92D82" w:rsidRPr="008E5FE5">
        <w:rPr>
          <w:i/>
        </w:rPr>
        <w:t xml:space="preserve"> </w:t>
      </w:r>
      <w:r w:rsidR="00575F03" w:rsidRPr="008E5FE5">
        <w:rPr>
          <w:i/>
        </w:rPr>
        <w:t xml:space="preserve">at </w:t>
      </w:r>
      <w:r w:rsidR="0017546B" w:rsidRPr="008E5FE5">
        <w:rPr>
          <w:i/>
        </w:rPr>
        <w:t>68 properties per annum</w:t>
      </w:r>
      <w:r w:rsidR="00D41B08" w:rsidRPr="008E5FE5">
        <w:rPr>
          <w:i/>
        </w:rPr>
        <w:t xml:space="preserve">. </w:t>
      </w:r>
      <w:r w:rsidR="00ED2E92" w:rsidRPr="008E5FE5">
        <w:rPr>
          <w:i/>
        </w:rPr>
        <w:t xml:space="preserve"> </w:t>
      </w:r>
    </w:p>
    <w:p w14:paraId="264FA425" w14:textId="77777777" w:rsidR="00EF77C4" w:rsidRDefault="00EF77C4" w:rsidP="00EF77C4">
      <w:pPr>
        <w:pStyle w:val="plain"/>
      </w:pPr>
      <w:r w:rsidRPr="00FF7E37">
        <w:rPr>
          <w:b/>
        </w:rPr>
        <w:t>Recommendation 11</w:t>
      </w:r>
      <w:r>
        <w:t xml:space="preserve">: </w:t>
      </w:r>
      <w:r w:rsidRPr="00D31D34">
        <w:t xml:space="preserve">That KDC </w:t>
      </w:r>
      <w:r>
        <w:t>confirm the industry norm and, if appropriate, complete a hydraulic model of the system to enable better prediction and management of potential bottlenecks.</w:t>
      </w:r>
    </w:p>
    <w:p w14:paraId="5858D7C9" w14:textId="7EC3C4D0" w:rsidR="00EF77C4" w:rsidRPr="008E5FE5" w:rsidRDefault="00EF77C4" w:rsidP="00EF77C4">
      <w:pPr>
        <w:pStyle w:val="bodyitalic"/>
      </w:pPr>
      <w:r>
        <w:t xml:space="preserve">Council Response: </w:t>
      </w:r>
      <w:r w:rsidRPr="00CE292F">
        <w:t xml:space="preserve">A basic </w:t>
      </w:r>
      <w:r w:rsidRPr="008E5FE5">
        <w:t>hydraulic model ha</w:t>
      </w:r>
      <w:r w:rsidR="00EF1E76">
        <w:t>s been done by AECOM; this</w:t>
      </w:r>
      <w:r w:rsidRPr="008E5FE5">
        <w:t xml:space="preserve"> model is considered appropriate (and affordable) for this size wastewater scheme. The hydraulic modelling defined capacity and identified bottlenecks</w:t>
      </w:r>
      <w:r w:rsidR="00DB6A0E" w:rsidRPr="008E5FE5">
        <w:t xml:space="preserve"> in the reticulation system</w:t>
      </w:r>
      <w:r w:rsidR="0047685C" w:rsidRPr="008E5FE5">
        <w:t xml:space="preserve">.  Nine of the existing </w:t>
      </w:r>
      <w:r w:rsidR="00F92D82">
        <w:t>thirteen</w:t>
      </w:r>
      <w:r w:rsidR="00F92D82" w:rsidRPr="008E5FE5">
        <w:t xml:space="preserve"> </w:t>
      </w:r>
      <w:r w:rsidR="0047685C" w:rsidRPr="008E5FE5">
        <w:t xml:space="preserve">pump stations have sufficient capacity to accommodate </w:t>
      </w:r>
      <w:r w:rsidR="00904717" w:rsidRPr="008E5FE5">
        <w:t xml:space="preserve">full </w:t>
      </w:r>
      <w:r w:rsidR="0047685C" w:rsidRPr="008E5FE5">
        <w:t xml:space="preserve">development </w:t>
      </w:r>
      <w:r w:rsidR="00904717" w:rsidRPr="008E5FE5">
        <w:t>of</w:t>
      </w:r>
      <w:r w:rsidR="0047685C" w:rsidRPr="008E5FE5">
        <w:t xml:space="preserve"> the drainage district while four will require upgrades.  Six new pump stations would ultimately be required to service </w:t>
      </w:r>
      <w:r w:rsidR="00C45A63" w:rsidRPr="008E5FE5">
        <w:t>a</w:t>
      </w:r>
      <w:r w:rsidR="0047685C" w:rsidRPr="008E5FE5">
        <w:t xml:space="preserve"> fully developed drainage district.  The phasing of these upgrades will be dictated by the pattern of development </w:t>
      </w:r>
      <w:r w:rsidR="009606C5" w:rsidRPr="008E5FE5">
        <w:t xml:space="preserve">and the </w:t>
      </w:r>
      <w:r w:rsidR="0047685C" w:rsidRPr="008E5FE5">
        <w:t>growt</w:t>
      </w:r>
      <w:r w:rsidR="009606C5" w:rsidRPr="008E5FE5">
        <w:t>h rates within the respective sub-catchments</w:t>
      </w:r>
      <w:r w:rsidR="0047685C" w:rsidRPr="008E5FE5">
        <w:t>.</w:t>
      </w:r>
      <w:r w:rsidR="00B8294B">
        <w:t xml:space="preserve">  One of these pump stations is programmed to be upgraded this financial year</w:t>
      </w:r>
      <w:r w:rsidR="00552169">
        <w:t xml:space="preserve"> (2017/18)</w:t>
      </w:r>
      <w:r w:rsidR="00B8294B">
        <w:t>.</w:t>
      </w:r>
    </w:p>
    <w:p w14:paraId="635B2AA3" w14:textId="77777777" w:rsidR="00EF77C4" w:rsidRDefault="00EF77C4" w:rsidP="00EF77C4">
      <w:pPr>
        <w:pStyle w:val="plain"/>
      </w:pPr>
      <w:r w:rsidRPr="008E5FE5">
        <w:rPr>
          <w:b/>
        </w:rPr>
        <w:t>Recommendation 15:</w:t>
      </w:r>
      <w:r w:rsidRPr="008E5FE5">
        <w:t xml:space="preserve"> That KDC commence</w:t>
      </w:r>
      <w:r>
        <w:t xml:space="preserve"> the capacity upgrade for the plant in a staged manner that aligns to the expansion of the reticulation network and meets the selected disposal option for the treated effluent.  </w:t>
      </w:r>
    </w:p>
    <w:p w14:paraId="3B7F8947" w14:textId="1F21FE10" w:rsidR="00EF77C4" w:rsidRPr="00CE292F" w:rsidRDefault="00EF77C4" w:rsidP="00EF77C4">
      <w:pPr>
        <w:pStyle w:val="bodyitalic"/>
      </w:pPr>
      <w:r w:rsidRPr="00CE292F">
        <w:t xml:space="preserve">Council Response: Council agrees and is progressing towards an integrated strategy that: optimises disposal at the Browns Road farm by extending the irrigation area </w:t>
      </w:r>
      <w:r w:rsidRPr="008E5FE5">
        <w:t xml:space="preserve">and </w:t>
      </w:r>
      <w:r w:rsidR="00BE1EB9" w:rsidRPr="008E5FE5">
        <w:t>modifying</w:t>
      </w:r>
      <w:r w:rsidRPr="00CE292F">
        <w:t xml:space="preserve"> the disposal resource consent to </w:t>
      </w:r>
      <w:r w:rsidRPr="002A5095">
        <w:t>match the actual land use (i.e. dry-stock grazing)</w:t>
      </w:r>
      <w:r w:rsidR="0054377C">
        <w:t>;</w:t>
      </w:r>
      <w:r w:rsidRPr="002A5095">
        <w:t xml:space="preserve"> accommodates</w:t>
      </w:r>
      <w:r w:rsidRPr="00CE292F">
        <w:t xml:space="preserve"> the Christmas / New</w:t>
      </w:r>
      <w:r>
        <w:t> </w:t>
      </w:r>
      <w:r w:rsidRPr="00CE292F">
        <w:t>Year usage peak</w:t>
      </w:r>
      <w:r w:rsidR="0054377C">
        <w:t>;</w:t>
      </w:r>
      <w:r w:rsidRPr="00CE292F">
        <w:t xml:space="preserve"> funds the extension of the reticulation network</w:t>
      </w:r>
      <w:r w:rsidR="0054377C">
        <w:t>;</w:t>
      </w:r>
      <w:r w:rsidRPr="00CE292F">
        <w:t xml:space="preserve"> and upgrades the treatment plant when required in approximately </w:t>
      </w:r>
      <w:r w:rsidRPr="002A5095">
        <w:t>10</w:t>
      </w:r>
      <w:r>
        <w:t> </w:t>
      </w:r>
      <w:r w:rsidRPr="002A5095">
        <w:t xml:space="preserve">years’ time. </w:t>
      </w:r>
      <w:r>
        <w:t xml:space="preserve"> </w:t>
      </w:r>
      <w:r w:rsidRPr="002A5095">
        <w:t>The reticulation</w:t>
      </w:r>
      <w:r w:rsidRPr="00CE292F">
        <w:t xml:space="preserve"> network is being increased on a</w:t>
      </w:r>
      <w:r w:rsidR="0054377C">
        <w:t>n</w:t>
      </w:r>
      <w:r w:rsidRPr="00CE292F">
        <w:t xml:space="preserve"> </w:t>
      </w:r>
      <w:r w:rsidR="0054377C">
        <w:t xml:space="preserve">‘as </w:t>
      </w:r>
      <w:r w:rsidRPr="00CE292F">
        <w:t>needs</w:t>
      </w:r>
      <w:r w:rsidR="0054377C">
        <w:t>’</w:t>
      </w:r>
      <w:r w:rsidRPr="00CE292F">
        <w:t xml:space="preserve"> basis in line with residential development</w:t>
      </w:r>
      <w:r w:rsidR="0054377C">
        <w:t>.</w:t>
      </w:r>
      <w:r w:rsidRPr="00CE292F">
        <w:t xml:space="preserve"> </w:t>
      </w:r>
      <w:r w:rsidR="0054377C">
        <w:t>T</w:t>
      </w:r>
      <w:r w:rsidRPr="00CE292F">
        <w:t>he financial modelling will pro</w:t>
      </w:r>
      <w:r w:rsidR="0054377C">
        <w:t>vide</w:t>
      </w:r>
      <w:r w:rsidRPr="00CE292F">
        <w:t xml:space="preserve"> extension </w:t>
      </w:r>
      <w:r w:rsidR="0054377C">
        <w:t>options for</w:t>
      </w:r>
      <w:r w:rsidRPr="00CE292F">
        <w:t xml:space="preserve"> the network </w:t>
      </w:r>
      <w:r w:rsidR="00BE5F0C">
        <w:t>and will be included</w:t>
      </w:r>
      <w:r>
        <w:t xml:space="preserve"> </w:t>
      </w:r>
      <w:r w:rsidR="00DD1260">
        <w:t>in</w:t>
      </w:r>
      <w:r>
        <w:t xml:space="preserve"> the </w:t>
      </w:r>
      <w:r w:rsidRPr="00CE292F">
        <w:t>Long Term Plan</w:t>
      </w:r>
      <w:r>
        <w:t xml:space="preserve"> </w:t>
      </w:r>
      <w:r w:rsidRPr="00CE292F">
        <w:t>2018</w:t>
      </w:r>
      <w:r>
        <w:t>/2028</w:t>
      </w:r>
      <w:r w:rsidRPr="00CE292F">
        <w:t>.</w:t>
      </w:r>
    </w:p>
    <w:p w14:paraId="26C24F5F" w14:textId="77777777" w:rsidR="00EF77C4" w:rsidRDefault="00EF77C4" w:rsidP="00EF77C4">
      <w:pPr>
        <w:pStyle w:val="plain"/>
      </w:pPr>
      <w:r w:rsidRPr="00FF7E37">
        <w:rPr>
          <w:b/>
        </w:rPr>
        <w:t>Recommendation 19:</w:t>
      </w:r>
      <w:r>
        <w:t xml:space="preserve"> That primary disposal for the next 5</w:t>
      </w:r>
      <w:r>
        <w:noBreakHyphen/>
        <w:t>10 years is through the expansion of irrigation on the existing farm – with a minimum of 5-10 ha of irrigation added to the farm within 5 years, and potentially 20 ha (if required).</w:t>
      </w:r>
    </w:p>
    <w:p w14:paraId="43972865" w14:textId="3E8D8343" w:rsidR="00EF77C4" w:rsidRDefault="00EF77C4" w:rsidP="00EF77C4">
      <w:pPr>
        <w:pStyle w:val="bodyitalic"/>
      </w:pPr>
      <w:r w:rsidRPr="00CE292F">
        <w:t xml:space="preserve">Council Response: Council agrees; </w:t>
      </w:r>
      <w:r w:rsidR="00F4408F">
        <w:t xml:space="preserve">An </w:t>
      </w:r>
      <w:r w:rsidRPr="00CE292F">
        <w:t xml:space="preserve">expansion of the </w:t>
      </w:r>
      <w:r w:rsidR="0054377C">
        <w:t>disposal</w:t>
      </w:r>
      <w:r w:rsidRPr="00CE292F">
        <w:t xml:space="preserve"> network </w:t>
      </w:r>
      <w:r w:rsidR="00BE5F0C">
        <w:t>was</w:t>
      </w:r>
      <w:r w:rsidRPr="00CE292F">
        <w:t xml:space="preserve"> </w:t>
      </w:r>
      <w:r w:rsidR="00F4408F">
        <w:t xml:space="preserve">undertaken in the </w:t>
      </w:r>
      <w:r w:rsidRPr="00CE292F">
        <w:t xml:space="preserve">2016/2017 </w:t>
      </w:r>
      <w:r w:rsidR="00F4408F">
        <w:t>financial year increasing the irrigated area from 30 to 46ha (of a total 65ha available and consented).  The next stage will require augmentation of the irrigation</w:t>
      </w:r>
      <w:r w:rsidRPr="00CE292F">
        <w:t xml:space="preserve"> trunk infrastructure and </w:t>
      </w:r>
      <w:r w:rsidR="00F4408F">
        <w:t>control system.</w:t>
      </w:r>
      <w:r w:rsidRPr="002A5095">
        <w:t xml:space="preserve">t. The appropriate matching of the disposal resource consent to the actual farmland usage will enable optimisation of the farm </w:t>
      </w:r>
      <w:r w:rsidR="0054377C">
        <w:t>disposal</w:t>
      </w:r>
      <w:r w:rsidRPr="002A5095">
        <w:t xml:space="preserve"> capacity</w:t>
      </w:r>
      <w:r w:rsidR="00F4408F">
        <w:t xml:space="preserve"> (currently under investigation)</w:t>
      </w:r>
      <w:r w:rsidRPr="002A5095">
        <w:t>.</w:t>
      </w:r>
    </w:p>
    <w:p w14:paraId="18F58941" w14:textId="77777777" w:rsidR="00EF77C4" w:rsidRDefault="00EF77C4" w:rsidP="00EF77C4">
      <w:pPr>
        <w:pStyle w:val="Heading1"/>
      </w:pPr>
      <w:r w:rsidRPr="008E5FE5">
        <w:t>4</w:t>
      </w:r>
      <w:r>
        <w:tab/>
      </w:r>
      <w:r w:rsidRPr="002A5095">
        <w:t>ENSURING ALL PROPERTIES THAT CAN BE CONNECTED TO THE SCHEME ARE CONNECTED</w:t>
      </w:r>
    </w:p>
    <w:p w14:paraId="1E9F3EEF" w14:textId="4D36C431" w:rsidR="00EF77C4" w:rsidRPr="00904526" w:rsidRDefault="00EF77C4" w:rsidP="00EF77C4">
      <w:pPr>
        <w:pStyle w:val="bodyitalic"/>
      </w:pPr>
      <w:r w:rsidRPr="001F65CF">
        <w:t>Council is committed to the principle of connection to a community wastewater scheme and is actively managing exceptions where properties are</w:t>
      </w:r>
      <w:r>
        <w:t> not</w:t>
      </w:r>
      <w:r w:rsidRPr="001F65CF">
        <w:t xml:space="preserve"> connected</w:t>
      </w:r>
      <w:r>
        <w:t>,</w:t>
      </w:r>
      <w:r w:rsidRPr="001F65CF">
        <w:t xml:space="preserve"> </w:t>
      </w:r>
      <w:r w:rsidR="00F92D82">
        <w:t>yet</w:t>
      </w:r>
      <w:r w:rsidR="00F92D82" w:rsidRPr="001F65CF">
        <w:t xml:space="preserve"> </w:t>
      </w:r>
      <w:r w:rsidRPr="001F65CF">
        <w:t>could or should be</w:t>
      </w:r>
      <w:r w:rsidR="00F92D82">
        <w:t xml:space="preserve"> connected</w:t>
      </w:r>
      <w:r w:rsidRPr="001F65CF">
        <w:t>.</w:t>
      </w:r>
    </w:p>
    <w:p w14:paraId="5E3E12C4" w14:textId="77777777" w:rsidR="00EF77C4" w:rsidRDefault="00EF77C4" w:rsidP="00EF77C4">
      <w:pPr>
        <w:pStyle w:val="plain"/>
      </w:pPr>
      <w:r w:rsidRPr="00431629">
        <w:rPr>
          <w:b/>
        </w:rPr>
        <w:t>Recommendation 01:</w:t>
      </w:r>
      <w:r>
        <w:t xml:space="preserve"> That KDC proactively seeks advice from the community of potential non</w:t>
      </w:r>
      <w:r>
        <w:noBreakHyphen/>
        <w:t>connections.  This is particularly relevant should KDC exercise its discretionary powers around mandatory connection.</w:t>
      </w:r>
    </w:p>
    <w:p w14:paraId="7E22A385" w14:textId="15A219CA" w:rsidR="00BE5F0C" w:rsidRDefault="00EF77C4" w:rsidP="00EF77C4">
      <w:pPr>
        <w:pStyle w:val="bodyitalic"/>
      </w:pPr>
      <w:r w:rsidRPr="004F5C83">
        <w:t xml:space="preserve">Council Response: An internal </w:t>
      </w:r>
      <w:r w:rsidR="008E0277">
        <w:t>review</w:t>
      </w:r>
      <w:r w:rsidRPr="004F5C83">
        <w:t xml:space="preserve"> was done in 2015 and reported in the Advisory Panel Report. Council also investigates whenever anomalies </w:t>
      </w:r>
      <w:r w:rsidRPr="008E5FE5">
        <w:t xml:space="preserve">surface. </w:t>
      </w:r>
      <w:r w:rsidR="00BE5F0C">
        <w:t xml:space="preserve"> As at June 2016 there were</w:t>
      </w:r>
      <w:r w:rsidR="000E31EC" w:rsidRPr="008E5FE5">
        <w:t xml:space="preserve"> 28</w:t>
      </w:r>
      <w:r w:rsidRPr="008E5FE5">
        <w:t xml:space="preserve"> properties that were not connected as part of the original scope of work</w:t>
      </w:r>
      <w:r w:rsidR="00D3326D">
        <w:t xml:space="preserve"> (currently there are now 16 remaining properties not connected)</w:t>
      </w:r>
      <w:r w:rsidR="00BE5F0C">
        <w:t xml:space="preserve">.  Each of these properties has a strategy as to how they </w:t>
      </w:r>
      <w:r w:rsidR="007A7EF0">
        <w:t>should be</w:t>
      </w:r>
      <w:r w:rsidR="00BE5F0C">
        <w:t xml:space="preserve"> connect</w:t>
      </w:r>
      <w:r w:rsidR="007A7EF0">
        <w:t>ed, some of which Council has partially funded extensions.</w:t>
      </w:r>
      <w:r w:rsidR="00832298">
        <w:t xml:space="preserve"> </w:t>
      </w:r>
      <w:r w:rsidR="00BE5F0C">
        <w:t xml:space="preserve"> </w:t>
      </w:r>
      <w:r w:rsidR="006D26A6">
        <w:t>Some</w:t>
      </w:r>
      <w:r w:rsidR="007A7EF0">
        <w:t xml:space="preserve"> </w:t>
      </w:r>
      <w:r w:rsidR="00BE5F0C">
        <w:t>have</w:t>
      </w:r>
      <w:r w:rsidR="00A53B9D">
        <w:t>,</w:t>
      </w:r>
      <w:r w:rsidR="00BE5F0C">
        <w:t xml:space="preserve"> </w:t>
      </w:r>
      <w:r w:rsidR="007A7EF0">
        <w:t>or are in the process of connecting.</w:t>
      </w:r>
      <w:r w:rsidR="00BE5F0C">
        <w:t xml:space="preserve">  </w:t>
      </w:r>
    </w:p>
    <w:p w14:paraId="0E62CF09" w14:textId="11E81F01" w:rsidR="00EF77C4" w:rsidRPr="008E5FE5" w:rsidRDefault="00EF77C4" w:rsidP="00EF77C4">
      <w:pPr>
        <w:pStyle w:val="bodyitalic"/>
      </w:pPr>
      <w:r w:rsidRPr="008E5FE5">
        <w:t>Council consider</w:t>
      </w:r>
      <w:r w:rsidR="00BE1EB9" w:rsidRPr="008E5FE5">
        <w:t>s</w:t>
      </w:r>
      <w:r w:rsidRPr="008E5FE5">
        <w:t xml:space="preserve"> connecting them</w:t>
      </w:r>
      <w:r w:rsidR="0054377C">
        <w:t xml:space="preserve"> to be</w:t>
      </w:r>
      <w:r w:rsidRPr="008E5FE5">
        <w:t xml:space="preserve"> a priority.  </w:t>
      </w:r>
    </w:p>
    <w:p w14:paraId="7FAD39F9" w14:textId="77777777" w:rsidR="00EF77C4" w:rsidRDefault="00EF77C4" w:rsidP="00EF77C4">
      <w:pPr>
        <w:pStyle w:val="plain"/>
      </w:pPr>
      <w:r w:rsidRPr="008E5FE5">
        <w:rPr>
          <w:b/>
        </w:rPr>
        <w:t>Recommendation 02:</w:t>
      </w:r>
      <w:r w:rsidRPr="008E5FE5">
        <w:t xml:space="preserve"> That KDC review properties where there is the potential that ‘rentable</w:t>
      </w:r>
      <w:r>
        <w:t xml:space="preserve"> units’ are not paying full fees as per the current KDC policy.</w:t>
      </w:r>
    </w:p>
    <w:p w14:paraId="3395FE05" w14:textId="3821735C" w:rsidR="00EF77C4" w:rsidRPr="004F5C83" w:rsidRDefault="00EF77C4" w:rsidP="00EF77C4">
      <w:pPr>
        <w:pStyle w:val="bodyitalic"/>
      </w:pPr>
      <w:r w:rsidRPr="004F5C83">
        <w:t>Council Response:  It is very difficult to identify ‘rentable units’ that are</w:t>
      </w:r>
      <w:r>
        <w:t> not</w:t>
      </w:r>
      <w:r w:rsidRPr="004F5C83">
        <w:t xml:space="preserve"> paying full fees; Council does investigate whenever </w:t>
      </w:r>
      <w:r w:rsidR="006D26A6">
        <w:t>additional SUIP’s are identified</w:t>
      </w:r>
      <w:r w:rsidRPr="004F5C83">
        <w:t>.</w:t>
      </w:r>
      <w:r>
        <w:t xml:space="preserve"> </w:t>
      </w:r>
      <w:r w:rsidRPr="004F5C83">
        <w:t xml:space="preserve"> </w:t>
      </w:r>
      <w:r w:rsidR="00874E40">
        <w:t xml:space="preserve"> </w:t>
      </w:r>
      <w:r w:rsidR="006D26A6">
        <w:t>Council has not allocated funds</w:t>
      </w:r>
      <w:r w:rsidR="00874E40">
        <w:t xml:space="preserve"> to look closely at this.  The preferred option is to investigate as necessary. </w:t>
      </w:r>
      <w:r w:rsidR="006D26A6">
        <w:t xml:space="preserve">  </w:t>
      </w:r>
      <w:r w:rsidRPr="004F5C83">
        <w:t xml:space="preserve"> </w:t>
      </w:r>
    </w:p>
    <w:p w14:paraId="1C3EC356" w14:textId="77777777" w:rsidR="00EF77C4" w:rsidRDefault="00EF77C4" w:rsidP="00EF77C4">
      <w:pPr>
        <w:pStyle w:val="plain"/>
      </w:pPr>
      <w:r w:rsidRPr="00431629">
        <w:rPr>
          <w:b/>
        </w:rPr>
        <w:t>Recommendation 05:</w:t>
      </w:r>
      <w:r>
        <w:t xml:space="preserve"> </w:t>
      </w:r>
      <w:r w:rsidRPr="00D31D34">
        <w:t xml:space="preserve">That KDC </w:t>
      </w:r>
      <w:r>
        <w:t>actively engage with NRC to ensure better alignment of processes, objectives and physical outcomes by connection to the MCWWS.</w:t>
      </w:r>
    </w:p>
    <w:p w14:paraId="637C7766" w14:textId="72D34974" w:rsidR="00730295" w:rsidRPr="00F42733" w:rsidRDefault="00EF77C4" w:rsidP="00EF77C4">
      <w:pPr>
        <w:pStyle w:val="bodyitalic"/>
        <w:rPr>
          <w:rFonts w:cs="Arial"/>
          <w:color w:val="333333"/>
          <w:szCs w:val="20"/>
          <w:shd w:val="clear" w:color="auto" w:fill="FFFFFF"/>
        </w:rPr>
      </w:pPr>
      <w:r w:rsidRPr="001F65CF">
        <w:t xml:space="preserve">Council Response:   </w:t>
      </w:r>
      <w:r w:rsidR="00DC5BD8">
        <w:t>Northland Regional Council (</w:t>
      </w:r>
      <w:r w:rsidRPr="002A5095">
        <w:t>NRC</w:t>
      </w:r>
      <w:r w:rsidR="00DC5BD8">
        <w:t>)</w:t>
      </w:r>
      <w:r w:rsidRPr="001F65CF">
        <w:t xml:space="preserve"> understand</w:t>
      </w:r>
      <w:r>
        <w:t>s</w:t>
      </w:r>
      <w:r w:rsidRPr="001F65CF">
        <w:t xml:space="preserve"> the issue and ha</w:t>
      </w:r>
      <w:r>
        <w:t>s</w:t>
      </w:r>
      <w:r w:rsidRPr="001F65CF">
        <w:t xml:space="preserve"> advised KDC to make a submission to the review of the Regional Water and Soil Plan and Regional Coastal Plan for </w:t>
      </w:r>
      <w:r w:rsidRPr="006D26A6">
        <w:rPr>
          <w:szCs w:val="20"/>
        </w:rPr>
        <w:t>Northland in 2017.</w:t>
      </w:r>
      <w:r w:rsidR="007411AC">
        <w:rPr>
          <w:szCs w:val="20"/>
        </w:rPr>
        <w:t xml:space="preserve"> The NRC has </w:t>
      </w:r>
      <w:r w:rsidR="00EF3CF0">
        <w:rPr>
          <w:szCs w:val="20"/>
        </w:rPr>
        <w:t xml:space="preserve">produced and </w:t>
      </w:r>
      <w:r w:rsidR="007411AC">
        <w:rPr>
          <w:szCs w:val="20"/>
        </w:rPr>
        <w:t xml:space="preserve">sought </w:t>
      </w:r>
      <w:r w:rsidR="007411AC" w:rsidRPr="00F42733">
        <w:rPr>
          <w:rFonts w:cs="Arial"/>
          <w:color w:val="333333"/>
          <w:szCs w:val="20"/>
          <w:shd w:val="clear" w:color="auto" w:fill="FFFFFF"/>
        </w:rPr>
        <w:t xml:space="preserve">feedback on its draft Regional Plan.  The following is the NRC’s summary of KDC’s feedback in this regard: </w:t>
      </w:r>
    </w:p>
    <w:p w14:paraId="7FFCCC97" w14:textId="4F7767C0" w:rsidR="007411AC" w:rsidRDefault="007411AC" w:rsidP="00010F05">
      <w:pPr>
        <w:pStyle w:val="bodyitalic"/>
        <w:ind w:left="720"/>
      </w:pPr>
      <w:r>
        <w:t>“Kaipara District Council stated that on-site domestic wastewater discharges are a large area of concern for the council, particularly because local communities spend a large amount of money on on-site systems and when they fail, have to repair them, and install or connect to a reticulated wastewater network. The failure of on-site systems have the potential to cause significant adverse effects on the environment and Kaipara District Council would like a restrictive approach to on-site systems, in order to ensure they are functioning without failure. Kaipara District Council is concerned that by adopting the approach in the draft Regional Plan, NRC has not recognised the significance of cumulative effects of these failures. The council submitted that the importance of ensuring connection to reticulated networks, especially in areas of high density or high growth, is essential for regional development, and should therefore be encouraged through the Regional Plan. Kaipara District Council would like to see the inclusion of minimum lot sizes as a performance standard, to ensure on-site systems are not overloaded and subsequently fail. Kaipara District Council would prefer for the warrant of fitness scheme to be adopted, or per the designers specifications, rather than the manufacturer”.</w:t>
      </w:r>
    </w:p>
    <w:p w14:paraId="4E776CBD" w14:textId="79C21725" w:rsidR="007411AC" w:rsidRPr="00F42733" w:rsidRDefault="007411AC" w:rsidP="007411AC">
      <w:pPr>
        <w:pStyle w:val="bodyitalic"/>
        <w:rPr>
          <w:rFonts w:cs="Arial"/>
          <w:color w:val="333333"/>
          <w:szCs w:val="20"/>
          <w:shd w:val="clear" w:color="auto" w:fill="FFFFFF"/>
        </w:rPr>
      </w:pPr>
      <w:r w:rsidRPr="00F42733">
        <w:rPr>
          <w:rFonts w:cs="Arial"/>
          <w:color w:val="333333"/>
          <w:szCs w:val="20"/>
          <w:shd w:val="clear" w:color="auto" w:fill="FFFFFF"/>
        </w:rPr>
        <w:t xml:space="preserve">The Northland Regional Council has advised that it will be </w:t>
      </w:r>
      <w:r w:rsidR="00CC0C3F">
        <w:rPr>
          <w:rFonts w:cs="Arial"/>
          <w:color w:val="333333"/>
          <w:szCs w:val="20"/>
          <w:shd w:val="clear" w:color="auto" w:fill="FFFFFF"/>
        </w:rPr>
        <w:t xml:space="preserve">formally </w:t>
      </w:r>
      <w:r w:rsidRPr="00F42733">
        <w:rPr>
          <w:rFonts w:cs="Arial"/>
          <w:color w:val="333333"/>
          <w:szCs w:val="20"/>
          <w:shd w:val="clear" w:color="auto" w:fill="FFFFFF"/>
        </w:rPr>
        <w:t>notifying the Proposed Regional Plan for submissions in early September 2017, and that the submission period will close mid-November 2017.</w:t>
      </w:r>
    </w:p>
    <w:p w14:paraId="40B0D51C" w14:textId="77777777" w:rsidR="00EF77C4" w:rsidRDefault="00EF77C4" w:rsidP="00EF77C4">
      <w:pPr>
        <w:pStyle w:val="plain"/>
      </w:pPr>
      <w:r w:rsidRPr="00431629">
        <w:rPr>
          <w:b/>
        </w:rPr>
        <w:t>Recommendation 08:</w:t>
      </w:r>
      <w:r>
        <w:t xml:space="preserve"> </w:t>
      </w:r>
      <w:r w:rsidRPr="00D31D34">
        <w:t xml:space="preserve">That KDC make </w:t>
      </w:r>
      <w:r>
        <w:t>onsite systems a Restricted Discretionary activity within the District Plan or through a bylaw.</w:t>
      </w:r>
    </w:p>
    <w:p w14:paraId="5AEC6D3C" w14:textId="5454FB34" w:rsidR="00EF77C4" w:rsidRDefault="00EF77C4" w:rsidP="00EF77C4">
      <w:pPr>
        <w:pStyle w:val="bodyitalic"/>
      </w:pPr>
      <w:r w:rsidRPr="001F65CF">
        <w:t>Council Response:</w:t>
      </w:r>
      <w:r>
        <w:t xml:space="preserve"> </w:t>
      </w:r>
      <w:r w:rsidRPr="001F65CF">
        <w:t xml:space="preserve">Council agrees with the concept, </w:t>
      </w:r>
      <w:r>
        <w:t>however</w:t>
      </w:r>
      <w:r w:rsidRPr="001F65CF">
        <w:t xml:space="preserve"> jurisdiction for a Restricted Discretionary activity in relation to wastewater belongs to Northland Regional Council. </w:t>
      </w:r>
      <w:r>
        <w:t xml:space="preserve"> Council will make a submission to the </w:t>
      </w:r>
      <w:r w:rsidR="00F42733">
        <w:t xml:space="preserve">NRC </w:t>
      </w:r>
      <w:r w:rsidR="00F42733" w:rsidRPr="005E69A8">
        <w:rPr>
          <w:rFonts w:cs="Arial"/>
          <w:color w:val="333333"/>
          <w:szCs w:val="20"/>
          <w:shd w:val="clear" w:color="auto" w:fill="FFFFFF"/>
        </w:rPr>
        <w:t>Regional Plan</w:t>
      </w:r>
      <w:r w:rsidR="00F42733">
        <w:rPr>
          <w:rFonts w:cs="Arial"/>
          <w:color w:val="333333"/>
          <w:szCs w:val="20"/>
          <w:shd w:val="clear" w:color="auto" w:fill="FFFFFF"/>
        </w:rPr>
        <w:t>.</w:t>
      </w:r>
    </w:p>
    <w:p w14:paraId="3B277D60" w14:textId="3BF60DC2" w:rsidR="00EF77C4" w:rsidRDefault="006D26A6" w:rsidP="00EF77C4">
      <w:pPr>
        <w:pStyle w:val="bodyitalic"/>
      </w:pPr>
      <w:r>
        <w:t>The introduction of the</w:t>
      </w:r>
      <w:r w:rsidR="00EF77C4" w:rsidRPr="001F65CF">
        <w:t xml:space="preserve"> Wastewater Drainage </w:t>
      </w:r>
      <w:r>
        <w:t xml:space="preserve">Policy and </w:t>
      </w:r>
      <w:r w:rsidRPr="001F65CF">
        <w:t xml:space="preserve">Wastewater Drainage </w:t>
      </w:r>
      <w:r>
        <w:t xml:space="preserve">Bylaw </w:t>
      </w:r>
      <w:r w:rsidR="00874E40">
        <w:t>with</w:t>
      </w:r>
      <w:r>
        <w:t xml:space="preserve"> the warrant of fitness regime for on-site systems will help.</w:t>
      </w:r>
    </w:p>
    <w:p w14:paraId="1AF7DE42" w14:textId="653E637F" w:rsidR="00EF77C4" w:rsidRPr="00D317F7" w:rsidRDefault="00EF77C4" w:rsidP="00D317F7">
      <w:pPr>
        <w:spacing w:before="0" w:line="240" w:lineRule="auto"/>
        <w:rPr>
          <w:i/>
        </w:rPr>
      </w:pPr>
    </w:p>
    <w:p w14:paraId="55F60E4B" w14:textId="663ECBFB" w:rsidR="00CF5F8D" w:rsidRPr="00CF5F8D" w:rsidRDefault="00684C6C" w:rsidP="00D443F4">
      <w:pPr>
        <w:pStyle w:val="Heading1"/>
      </w:pPr>
      <w:r>
        <w:t>5</w:t>
      </w:r>
      <w:r w:rsidR="00CC5F0E">
        <w:tab/>
      </w:r>
      <w:r w:rsidR="00CF5F8D" w:rsidRPr="000C1392">
        <w:t>APPLYING A ‘USER PAYS’ PRINCIPLE</w:t>
      </w:r>
    </w:p>
    <w:p w14:paraId="39096AD3" w14:textId="549CC158" w:rsidR="00835559" w:rsidRPr="001F65CF" w:rsidRDefault="00835559" w:rsidP="00CB19F3">
      <w:pPr>
        <w:pStyle w:val="bodyitalic"/>
      </w:pPr>
      <w:r w:rsidRPr="001F65CF">
        <w:t>Council agrees with a ‘user pays’ principle.</w:t>
      </w:r>
    </w:p>
    <w:p w14:paraId="4FA5D7FA" w14:textId="36AE61A4" w:rsidR="00D547A6" w:rsidRDefault="00B358F8" w:rsidP="00872784">
      <w:pPr>
        <w:pStyle w:val="plain"/>
      </w:pPr>
      <w:r w:rsidRPr="00B358F8">
        <w:rPr>
          <w:b/>
        </w:rPr>
        <w:t>Recommendation 22:</w:t>
      </w:r>
      <w:r>
        <w:t xml:space="preserve"> </w:t>
      </w:r>
      <w:r w:rsidR="00D547A6">
        <w:t>That the following guiding principles to charging for the MCWWS should apply:</w:t>
      </w:r>
    </w:p>
    <w:p w14:paraId="285B7AF2" w14:textId="77777777" w:rsidR="00D547A6" w:rsidRPr="00337F96" w:rsidRDefault="00D547A6" w:rsidP="008D43E3">
      <w:pPr>
        <w:pStyle w:val="bullet"/>
      </w:pPr>
      <w:r w:rsidRPr="00337F96">
        <w:t>Any further capital investment in the scheme should be funded solely by the drainage district ratepayers directly benefiting from the scheme;</w:t>
      </w:r>
    </w:p>
    <w:p w14:paraId="588869AF" w14:textId="1B695ED0" w:rsidR="00D547A6" w:rsidRPr="00337F96" w:rsidRDefault="00D547A6" w:rsidP="008D43E3">
      <w:pPr>
        <w:pStyle w:val="bullet"/>
      </w:pPr>
      <w:r w:rsidRPr="00337F96">
        <w:t>Dwellings in existence before 1</w:t>
      </w:r>
      <w:r w:rsidR="008D43E3">
        <w:t> </w:t>
      </w:r>
      <w:r w:rsidRPr="00337F96">
        <w:t>July 2006 within the 2009 reticulated area should be charged a rate reflecting the inflation adjusted cost (excluding subsidies) of those who connected in 2006;</w:t>
      </w:r>
    </w:p>
    <w:p w14:paraId="044B3B44" w14:textId="77777777" w:rsidR="00D547A6" w:rsidRPr="00337F96" w:rsidRDefault="00D547A6" w:rsidP="008D43E3">
      <w:pPr>
        <w:pStyle w:val="bullet"/>
      </w:pPr>
      <w:r w:rsidRPr="00337F96">
        <w:t>Communal schemes should be incorporated into the MCWWS as soon as practical (upon extension of the reticulation scheme) and pay the appropriate development contribution at the time.</w:t>
      </w:r>
    </w:p>
    <w:p w14:paraId="552D4744" w14:textId="77777777" w:rsidR="00D547A6" w:rsidRPr="00337F96" w:rsidRDefault="00D547A6" w:rsidP="008D43E3">
      <w:pPr>
        <w:pStyle w:val="bullet"/>
      </w:pPr>
      <w:r w:rsidRPr="00337F96">
        <w:t>All other properties to pay the development contribution applicable at the time once they become connectable.</w:t>
      </w:r>
    </w:p>
    <w:p w14:paraId="4513D1F2" w14:textId="77777777" w:rsidR="005709C5" w:rsidRDefault="00D547A6" w:rsidP="00A1659D">
      <w:pPr>
        <w:pStyle w:val="plain"/>
      </w:pPr>
      <w:r>
        <w:t xml:space="preserve">As a general principle the Panel supports a ‘user pays principle’.  Therefore any discount offered to one or more properties (or groups of properties) will by default result in higher charges to all ratepayers within the MCWWS </w:t>
      </w:r>
      <w:r w:rsidRPr="00A1659D">
        <w:t>catchment</w:t>
      </w:r>
      <w:r>
        <w:t>.</w:t>
      </w:r>
    </w:p>
    <w:p w14:paraId="246A0D61" w14:textId="2124E61A" w:rsidR="0047208E" w:rsidRPr="008E5FE5" w:rsidRDefault="00C53AFC" w:rsidP="00A1659D">
      <w:pPr>
        <w:pStyle w:val="bodyitalic"/>
      </w:pPr>
      <w:r w:rsidRPr="001F65CF">
        <w:t xml:space="preserve">Council </w:t>
      </w:r>
      <w:r w:rsidR="0047208E" w:rsidRPr="001F65CF">
        <w:t>Response:</w:t>
      </w:r>
      <w:r w:rsidR="008D43E3">
        <w:t xml:space="preserve"> </w:t>
      </w:r>
      <w:r w:rsidR="000566D5" w:rsidRPr="001F65CF">
        <w:t>Council a</w:t>
      </w:r>
      <w:r w:rsidR="00B92763" w:rsidRPr="001F65CF">
        <w:t>gree</w:t>
      </w:r>
      <w:r w:rsidR="000566D5" w:rsidRPr="001F65CF">
        <w:t>s</w:t>
      </w:r>
      <w:r w:rsidR="00C81593" w:rsidRPr="001F65CF">
        <w:t xml:space="preserve"> with this </w:t>
      </w:r>
      <w:r w:rsidR="00835559" w:rsidRPr="001F65CF">
        <w:t xml:space="preserve">principle and </w:t>
      </w:r>
      <w:r w:rsidR="006D26A6">
        <w:t>is</w:t>
      </w:r>
      <w:r w:rsidR="006D26A6" w:rsidRPr="001F65CF">
        <w:t xml:space="preserve"> </w:t>
      </w:r>
      <w:r w:rsidR="00835559" w:rsidRPr="001F65CF">
        <w:t>formally consider</w:t>
      </w:r>
      <w:r w:rsidR="006D26A6">
        <w:t>ing</w:t>
      </w:r>
      <w:r w:rsidR="00835559" w:rsidRPr="001F65CF">
        <w:t xml:space="preserve"> th</w:t>
      </w:r>
      <w:r w:rsidR="006D26A6">
        <w:t>is</w:t>
      </w:r>
      <w:r w:rsidR="00835559" w:rsidRPr="001F65CF">
        <w:t xml:space="preserve"> matter as part of the </w:t>
      </w:r>
      <w:r w:rsidR="008D43E3" w:rsidRPr="001F65CF">
        <w:t>Long Term Plan</w:t>
      </w:r>
      <w:r w:rsidR="008D43E3">
        <w:t> </w:t>
      </w:r>
      <w:r w:rsidR="00835559" w:rsidRPr="001F65CF">
        <w:t>2018</w:t>
      </w:r>
      <w:r w:rsidR="008D43E3">
        <w:t>/20</w:t>
      </w:r>
      <w:r w:rsidR="00835559" w:rsidRPr="001F65CF">
        <w:t>28</w:t>
      </w:r>
      <w:r w:rsidR="00835559" w:rsidRPr="008E5FE5">
        <w:t>.</w:t>
      </w:r>
      <w:r w:rsidR="00F2076F" w:rsidRPr="008E5FE5">
        <w:t xml:space="preserve"> Council </w:t>
      </w:r>
      <w:r w:rsidR="00EF77C4" w:rsidRPr="008E5FE5">
        <w:t xml:space="preserve">currently applies </w:t>
      </w:r>
      <w:r w:rsidR="0029423D" w:rsidRPr="008E5FE5">
        <w:t>a</w:t>
      </w:r>
      <w:r w:rsidR="00EF77C4" w:rsidRPr="008E5FE5">
        <w:t xml:space="preserve"> ‘user pays’</w:t>
      </w:r>
      <w:r w:rsidR="00F2076F" w:rsidRPr="008E5FE5">
        <w:t xml:space="preserve"> principle </w:t>
      </w:r>
      <w:r w:rsidR="00EF77C4" w:rsidRPr="008E5FE5">
        <w:t>by way of</w:t>
      </w:r>
      <w:r w:rsidR="00F2076F" w:rsidRPr="008E5FE5">
        <w:t xml:space="preserve"> targeted rates and D</w:t>
      </w:r>
      <w:r w:rsidR="00EF77C4" w:rsidRPr="008E5FE5">
        <w:t xml:space="preserve">evelopment </w:t>
      </w:r>
      <w:r w:rsidR="00F2076F" w:rsidRPr="008E5FE5">
        <w:t>C</w:t>
      </w:r>
      <w:r w:rsidR="00EF77C4" w:rsidRPr="008E5FE5">
        <w:t>ontribution</w:t>
      </w:r>
      <w:r w:rsidR="0029423D" w:rsidRPr="008E5FE5">
        <w:t>s</w:t>
      </w:r>
      <w:r w:rsidR="00DC5BD8">
        <w:t xml:space="preserve"> for those properties connected and connectable to the scheme</w:t>
      </w:r>
      <w:r w:rsidR="0029423D" w:rsidRPr="008E5FE5">
        <w:t>.</w:t>
      </w:r>
    </w:p>
    <w:p w14:paraId="22DD0D39" w14:textId="72270DDB" w:rsidR="00D16671" w:rsidRPr="008E5FE5" w:rsidRDefault="00CC5F0E" w:rsidP="00DF6456">
      <w:pPr>
        <w:pStyle w:val="Heading1"/>
      </w:pPr>
      <w:r w:rsidRPr="008E5FE5">
        <w:t>6</w:t>
      </w:r>
      <w:r w:rsidRPr="008E5FE5">
        <w:tab/>
      </w:r>
      <w:r w:rsidR="00431629" w:rsidRPr="008E5FE5">
        <w:t>E</w:t>
      </w:r>
      <w:r w:rsidR="00854A56" w:rsidRPr="008E5FE5">
        <w:t>NSURING LONG TERM FINA</w:t>
      </w:r>
      <w:r w:rsidR="00381DAF" w:rsidRPr="008E5FE5">
        <w:t>N</w:t>
      </w:r>
      <w:r w:rsidR="00854A56" w:rsidRPr="008E5FE5">
        <w:t>CIAL AFFORDABILITY</w:t>
      </w:r>
    </w:p>
    <w:p w14:paraId="22059788" w14:textId="2B033DE5" w:rsidR="00034B6C" w:rsidRPr="00034B6C" w:rsidRDefault="00034B6C" w:rsidP="008523EF">
      <w:pPr>
        <w:pStyle w:val="bodyitalic"/>
      </w:pPr>
      <w:r w:rsidRPr="008E5FE5">
        <w:t>Council intends using a staged approach to increasing capacity via</w:t>
      </w:r>
      <w:r w:rsidR="00CC5F0E" w:rsidRPr="008E5FE5">
        <w:t xml:space="preserve"> staged</w:t>
      </w:r>
      <w:r w:rsidRPr="008E5FE5">
        <w:t xml:space="preserve"> </w:t>
      </w:r>
      <w:r w:rsidR="00CC5F0E" w:rsidRPr="008E5FE5">
        <w:t xml:space="preserve">capital </w:t>
      </w:r>
      <w:r w:rsidRPr="008E5FE5">
        <w:t>investments.</w:t>
      </w:r>
    </w:p>
    <w:p w14:paraId="5B8E4D20" w14:textId="1787B438" w:rsidR="00431629" w:rsidRDefault="00431629" w:rsidP="00872784">
      <w:pPr>
        <w:pStyle w:val="plain"/>
      </w:pPr>
      <w:r w:rsidRPr="00431629">
        <w:rPr>
          <w:b/>
        </w:rPr>
        <w:t>Recommendation 07:</w:t>
      </w:r>
      <w:r>
        <w:t xml:space="preserve"> </w:t>
      </w:r>
      <w:r w:rsidRPr="00D31D34">
        <w:t xml:space="preserve">That KDC make </w:t>
      </w:r>
      <w:r>
        <w:t>completion of the reticulation network to enable full connection a high priority, and that properties within 300m of the marine environment are prioritised for connection.</w:t>
      </w:r>
    </w:p>
    <w:p w14:paraId="3A3165FC" w14:textId="3A0806AD" w:rsidR="00431629" w:rsidRDefault="00431629" w:rsidP="00872784">
      <w:pPr>
        <w:pStyle w:val="plain"/>
      </w:pPr>
      <w:r w:rsidRPr="00431629">
        <w:rPr>
          <w:b/>
        </w:rPr>
        <w:t>Recommendation 12:</w:t>
      </w:r>
      <w:r>
        <w:t xml:space="preserve"> That full reticulation of the MCWWS catchment area is completed within 3</w:t>
      </w:r>
      <w:r w:rsidR="008523EF">
        <w:t> </w:t>
      </w:r>
      <w:r>
        <w:t>years to enable 100% of properties to fall within the LGA</w:t>
      </w:r>
      <w:r w:rsidR="00F92D82">
        <w:t xml:space="preserve"> (Local Government Act)</w:t>
      </w:r>
      <w:r>
        <w:t xml:space="preserve"> connection criteria </w:t>
      </w:r>
      <w:r w:rsidR="00F92D82">
        <w:t xml:space="preserve">of </w:t>
      </w:r>
      <w:r>
        <w:t>30/60m.</w:t>
      </w:r>
    </w:p>
    <w:p w14:paraId="0B57E798" w14:textId="6B5E4F61" w:rsidR="006D26A6" w:rsidRDefault="00D71696" w:rsidP="006D26A6">
      <w:pPr>
        <w:pStyle w:val="bodyitalic"/>
      </w:pPr>
      <w:r w:rsidRPr="000561C9">
        <w:t xml:space="preserve">Council Response:   </w:t>
      </w:r>
      <w:r w:rsidR="006D26A6">
        <w:t>Four options will be put forward for consideration.  They are:</w:t>
      </w:r>
    </w:p>
    <w:p w14:paraId="465C57C2" w14:textId="77777777" w:rsidR="006D26A6" w:rsidRPr="006D26A6" w:rsidRDefault="006D26A6" w:rsidP="006D26A6">
      <w:pPr>
        <w:pStyle w:val="bodyindent"/>
        <w:ind w:left="709" w:hanging="425"/>
        <w:jc w:val="left"/>
        <w:rPr>
          <w:i/>
        </w:rPr>
      </w:pPr>
      <w:r w:rsidRPr="007E261D">
        <w:t>1</w:t>
      </w:r>
      <w:r w:rsidRPr="006D26A6">
        <w:rPr>
          <w:i/>
        </w:rPr>
        <w:tab/>
        <w:t>Do minimum - extend disposal system, upgrade existing reticulation, upgrade treatment plant, capacity 3,300 connections, cost over 10 years $4.35 million;</w:t>
      </w:r>
    </w:p>
    <w:p w14:paraId="5F9F8764" w14:textId="77777777" w:rsidR="006D26A6" w:rsidRPr="006D26A6" w:rsidRDefault="006D26A6" w:rsidP="006D26A6">
      <w:pPr>
        <w:pStyle w:val="bodyindent"/>
        <w:ind w:left="709" w:hanging="425"/>
        <w:jc w:val="left"/>
        <w:rPr>
          <w:i/>
        </w:rPr>
      </w:pPr>
      <w:r w:rsidRPr="006D26A6">
        <w:rPr>
          <w:i/>
        </w:rPr>
        <w:t>2</w:t>
      </w:r>
      <w:r w:rsidRPr="006D26A6">
        <w:rPr>
          <w:i/>
        </w:rPr>
        <w:tab/>
        <w:t>Reticulate pockets - extend disposal system, upgrade existing reticulation, extend reticulation (8 years), upgrade treatment plant, capacity 3,300 connections, cost over 10 years $7.65 million;</w:t>
      </w:r>
    </w:p>
    <w:p w14:paraId="0619DFF9" w14:textId="77777777" w:rsidR="006D26A6" w:rsidRPr="006D26A6" w:rsidRDefault="006D26A6" w:rsidP="006D26A6">
      <w:pPr>
        <w:pStyle w:val="bodyindent"/>
        <w:ind w:left="709" w:hanging="425"/>
        <w:jc w:val="left"/>
        <w:rPr>
          <w:i/>
        </w:rPr>
      </w:pPr>
      <w:r w:rsidRPr="006D26A6">
        <w:rPr>
          <w:i/>
        </w:rPr>
        <w:t>3</w:t>
      </w:r>
      <w:r w:rsidRPr="006D26A6">
        <w:rPr>
          <w:i/>
        </w:rPr>
        <w:tab/>
        <w:t>Ecological plus pockets - extend disposal system, upgrade existing reticulation, extend reticulation (8 years), upgrade treatment plant, capacity 3,300 connections, cost over 10 years $16.35 million;</w:t>
      </w:r>
    </w:p>
    <w:p w14:paraId="29B2025D" w14:textId="447CBE2F" w:rsidR="006D26A6" w:rsidRPr="006D26A6" w:rsidRDefault="006D26A6" w:rsidP="006D26A6">
      <w:pPr>
        <w:pStyle w:val="bodyindent"/>
        <w:ind w:left="709" w:hanging="425"/>
        <w:jc w:val="left"/>
        <w:rPr>
          <w:i/>
        </w:rPr>
      </w:pPr>
      <w:r w:rsidRPr="006D26A6">
        <w:rPr>
          <w:i/>
        </w:rPr>
        <w:t>4</w:t>
      </w:r>
      <w:r w:rsidRPr="006D26A6">
        <w:rPr>
          <w:i/>
        </w:rPr>
        <w:tab/>
        <w:t xml:space="preserve">Additional </w:t>
      </w:r>
      <w:r w:rsidR="00C538C2">
        <w:rPr>
          <w:i/>
        </w:rPr>
        <w:t>reticulation, treatment and disposal</w:t>
      </w:r>
      <w:r w:rsidRPr="006D26A6">
        <w:rPr>
          <w:i/>
        </w:rPr>
        <w:t xml:space="preserve"> - extend (existing) disposal system, plus new </w:t>
      </w:r>
      <w:r>
        <w:rPr>
          <w:i/>
        </w:rPr>
        <w:t xml:space="preserve">land based </w:t>
      </w:r>
      <w:r w:rsidRPr="006D26A6">
        <w:rPr>
          <w:i/>
        </w:rPr>
        <w:t>disposal system</w:t>
      </w:r>
      <w:r>
        <w:rPr>
          <w:i/>
        </w:rPr>
        <w:t>,</w:t>
      </w:r>
      <w:r w:rsidRPr="006D26A6">
        <w:rPr>
          <w:i/>
        </w:rPr>
        <w:t xml:space="preserve"> upgrade existing reticulation, extend reticulation (13 years), augment treatment plant, capacity 4,700 connections, cost over 22 years $34.78 million.</w:t>
      </w:r>
    </w:p>
    <w:p w14:paraId="717A46D6" w14:textId="264D9C5F" w:rsidR="008523EF" w:rsidRPr="00010F05" w:rsidRDefault="00C538C2" w:rsidP="00872784">
      <w:pPr>
        <w:pStyle w:val="plain"/>
      </w:pPr>
      <w:r w:rsidRPr="00C538C2">
        <w:t>Th</w:t>
      </w:r>
      <w:r w:rsidRPr="00010F05">
        <w:t xml:space="preserve">e </w:t>
      </w:r>
      <w:r>
        <w:t xml:space="preserve">tentative </w:t>
      </w:r>
      <w:r w:rsidRPr="00010F05">
        <w:t>approach at this stage is to b</w:t>
      </w:r>
      <w:r>
        <w:t>e</w:t>
      </w:r>
      <w:r w:rsidRPr="00010F05">
        <w:t xml:space="preserve">gin with option </w:t>
      </w:r>
      <w:r>
        <w:t>2 leading into option 4.</w:t>
      </w:r>
    </w:p>
    <w:sectPr w:rsidR="008523EF" w:rsidRPr="00010F05" w:rsidSect="00A1659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964" w:left="1418" w:header="567" w:footer="397" w:gutter="0"/>
      <w:paperSrc w:first="7" w:other="7"/>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B159B" w14:textId="77777777" w:rsidR="00215B3B" w:rsidRDefault="00215B3B">
      <w:r>
        <w:separator/>
      </w:r>
    </w:p>
  </w:endnote>
  <w:endnote w:type="continuationSeparator" w:id="0">
    <w:p w14:paraId="44E86384" w14:textId="77777777" w:rsidR="00215B3B" w:rsidRDefault="0021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4B5FF" w14:textId="77777777" w:rsidR="00A346A2" w:rsidRDefault="00A34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0CC2" w14:textId="6D9D7312" w:rsidR="00017886" w:rsidRPr="002A5095" w:rsidRDefault="00017886" w:rsidP="002A5095">
    <w:pPr>
      <w:pStyle w:val="Footer"/>
      <w:spacing w:before="0" w:line="240" w:lineRule="auto"/>
      <w:jc w:val="right"/>
      <w:rPr>
        <w:bCs/>
        <w:sz w:val="16"/>
      </w:rPr>
    </w:pPr>
    <w:r w:rsidRPr="002A5095">
      <w:rPr>
        <w:bCs/>
        <w:sz w:val="16"/>
      </w:rPr>
      <w:t>4505.21</w:t>
    </w:r>
    <w:r w:rsidR="002A5095" w:rsidRPr="002A5095">
      <w:rPr>
        <w:bCs/>
        <w:sz w:val="16"/>
      </w:rPr>
      <w:t>/Phase2/rpts</w:t>
    </w:r>
  </w:p>
  <w:p w14:paraId="2ED93DE7" w14:textId="725CA4E0" w:rsidR="00017886" w:rsidRDefault="00017886" w:rsidP="002A5095">
    <w:pPr>
      <w:pStyle w:val="Footer"/>
      <w:spacing w:before="0" w:line="240" w:lineRule="auto"/>
      <w:jc w:val="right"/>
      <w:rPr>
        <w:snapToGrid w:val="0"/>
        <w:sz w:val="12"/>
      </w:rPr>
    </w:pPr>
    <w:r>
      <w:rPr>
        <w:snapToGrid w:val="0"/>
        <w:sz w:val="12"/>
      </w:rPr>
      <w:fldChar w:fldCharType="begin"/>
    </w:r>
    <w:r>
      <w:rPr>
        <w:snapToGrid w:val="0"/>
        <w:sz w:val="12"/>
      </w:rPr>
      <w:instrText xml:space="preserve"> FILENAME </w:instrText>
    </w:r>
    <w:r>
      <w:rPr>
        <w:snapToGrid w:val="0"/>
        <w:sz w:val="12"/>
      </w:rPr>
      <w:fldChar w:fldCharType="separate"/>
    </w:r>
    <w:r w:rsidR="007A17D3">
      <w:rPr>
        <w:noProof/>
        <w:snapToGrid w:val="0"/>
        <w:sz w:val="12"/>
      </w:rPr>
      <w:t>Open letter to Advisory Panel June 2016 v2</w:t>
    </w:r>
    <w:r>
      <w:rPr>
        <w:snapToGrid w:val="0"/>
        <w:sz w:val="12"/>
      </w:rPr>
      <w:fldChar w:fldCharType="end"/>
    </w:r>
  </w:p>
  <w:p w14:paraId="5F288F13" w14:textId="5B403446" w:rsidR="00017886" w:rsidRDefault="00017886" w:rsidP="002A5095">
    <w:pPr>
      <w:pStyle w:val="Footer"/>
      <w:spacing w:before="0" w:line="240" w:lineRule="auto"/>
    </w:pPr>
    <w:r>
      <w:rPr>
        <w:snapToGrid w:val="0"/>
        <w:sz w:val="12"/>
      </w:rPr>
      <w:t>DM:</w:t>
    </w:r>
    <w:r w:rsidR="002A5095">
      <w:rPr>
        <w:snapToGrid w:val="0"/>
        <w:sz w:val="12"/>
      </w:rPr>
      <w:t>yh</w:t>
    </w:r>
    <w:r>
      <w:rPr>
        <w:snapToGrid w:val="0"/>
        <w:sz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CDFEC" w14:textId="77777777" w:rsidR="002A5095" w:rsidRPr="002A5095" w:rsidRDefault="002A5095" w:rsidP="002A5095">
    <w:pPr>
      <w:pStyle w:val="Footer"/>
      <w:spacing w:before="0" w:line="240" w:lineRule="auto"/>
      <w:jc w:val="right"/>
      <w:rPr>
        <w:bCs/>
        <w:sz w:val="16"/>
      </w:rPr>
    </w:pPr>
    <w:r w:rsidRPr="002A5095">
      <w:rPr>
        <w:bCs/>
        <w:sz w:val="16"/>
      </w:rPr>
      <w:t>4505.21/Phase2/rpts</w:t>
    </w:r>
  </w:p>
  <w:p w14:paraId="2D17419E" w14:textId="6D97DA69" w:rsidR="002A5095" w:rsidRDefault="002A5095" w:rsidP="002A5095">
    <w:pPr>
      <w:pStyle w:val="Footer"/>
      <w:spacing w:before="0" w:line="240" w:lineRule="auto"/>
      <w:jc w:val="right"/>
      <w:rPr>
        <w:snapToGrid w:val="0"/>
        <w:sz w:val="12"/>
      </w:rPr>
    </w:pPr>
    <w:r>
      <w:rPr>
        <w:snapToGrid w:val="0"/>
        <w:sz w:val="12"/>
      </w:rPr>
      <w:fldChar w:fldCharType="begin"/>
    </w:r>
    <w:r>
      <w:rPr>
        <w:snapToGrid w:val="0"/>
        <w:sz w:val="12"/>
      </w:rPr>
      <w:instrText xml:space="preserve"> FILENAME </w:instrText>
    </w:r>
    <w:r>
      <w:rPr>
        <w:snapToGrid w:val="0"/>
        <w:sz w:val="12"/>
      </w:rPr>
      <w:fldChar w:fldCharType="separate"/>
    </w:r>
    <w:r w:rsidR="007A17D3">
      <w:rPr>
        <w:noProof/>
        <w:snapToGrid w:val="0"/>
        <w:sz w:val="12"/>
      </w:rPr>
      <w:t>Open letter to Advisory Panel June 2016 v2</w:t>
    </w:r>
    <w:r>
      <w:rPr>
        <w:snapToGrid w:val="0"/>
        <w:sz w:val="12"/>
      </w:rPr>
      <w:fldChar w:fldCharType="end"/>
    </w:r>
    <w:r>
      <w:rPr>
        <w:snapToGrid w:val="0"/>
        <w:sz w:val="12"/>
      </w:rPr>
      <w:t>.7</w:t>
    </w:r>
  </w:p>
  <w:p w14:paraId="1F14169D" w14:textId="73D7F303" w:rsidR="00017886" w:rsidRPr="002A5095" w:rsidRDefault="002A5095" w:rsidP="002A5095">
    <w:pPr>
      <w:pStyle w:val="Footer"/>
      <w:spacing w:before="0" w:line="240" w:lineRule="auto"/>
    </w:pPr>
    <w:r>
      <w:rPr>
        <w:snapToGrid w:val="0"/>
        <w:sz w:val="12"/>
      </w:rPr>
      <w:t xml:space="preserve">DM:yh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71D87" w14:textId="77777777" w:rsidR="00215B3B" w:rsidRDefault="00215B3B">
      <w:r>
        <w:separator/>
      </w:r>
    </w:p>
  </w:footnote>
  <w:footnote w:type="continuationSeparator" w:id="0">
    <w:p w14:paraId="379F7EAB" w14:textId="77777777" w:rsidR="00215B3B" w:rsidRDefault="0021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B116E" w14:textId="0E8ADCD2" w:rsidR="00017886" w:rsidRDefault="00C72D1C">
    <w:pPr>
      <w:pStyle w:val="Header"/>
      <w:framePr w:wrap="around" w:vAnchor="text" w:hAnchor="margin" w:xAlign="center" w:y="1"/>
      <w:rPr>
        <w:rStyle w:val="PageNumber"/>
      </w:rPr>
    </w:pPr>
    <w:r>
      <w:rPr>
        <w:noProof/>
      </w:rPr>
      <w:pict w14:anchorId="76329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71975" o:spid="_x0000_s2054" type="#_x0000_t136" style="position:absolute;margin-left:0;margin-top:0;width:456.7pt;height:182.65pt;rotation:315;z-index:-251654656;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r w:rsidR="00017886">
      <w:rPr>
        <w:rStyle w:val="PageNumber"/>
      </w:rPr>
      <w:fldChar w:fldCharType="begin"/>
    </w:r>
    <w:r w:rsidR="00017886">
      <w:rPr>
        <w:rStyle w:val="PageNumber"/>
      </w:rPr>
      <w:instrText xml:space="preserve">PAGE  </w:instrText>
    </w:r>
    <w:r w:rsidR="00017886">
      <w:rPr>
        <w:rStyle w:val="PageNumber"/>
      </w:rPr>
      <w:fldChar w:fldCharType="end"/>
    </w:r>
  </w:p>
  <w:p w14:paraId="1F7890BD" w14:textId="77777777" w:rsidR="00017886" w:rsidRDefault="000178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3685E" w14:textId="05341E69" w:rsidR="00017886" w:rsidRDefault="00C72D1C">
    <w:pPr>
      <w:pStyle w:val="Header"/>
      <w:framePr w:wrap="around" w:vAnchor="text" w:hAnchor="margin" w:xAlign="center" w:y="1"/>
      <w:rPr>
        <w:rStyle w:val="PageNumber"/>
      </w:rPr>
    </w:pPr>
    <w:r>
      <w:rPr>
        <w:noProof/>
      </w:rPr>
      <w:pict w14:anchorId="6CCCBB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71976" o:spid="_x0000_s2055" type="#_x0000_t136" style="position:absolute;margin-left:0;margin-top:0;width:456.7pt;height:182.65pt;rotation:315;z-index:-25165260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r w:rsidR="00017886">
      <w:rPr>
        <w:rStyle w:val="PageNumber"/>
      </w:rPr>
      <w:fldChar w:fldCharType="begin"/>
    </w:r>
    <w:r w:rsidR="00017886">
      <w:rPr>
        <w:rStyle w:val="PageNumber"/>
      </w:rPr>
      <w:instrText xml:space="preserve">PAGE  </w:instrText>
    </w:r>
    <w:r w:rsidR="00017886">
      <w:rPr>
        <w:rStyle w:val="PageNumber"/>
      </w:rPr>
      <w:fldChar w:fldCharType="separate"/>
    </w:r>
    <w:r>
      <w:rPr>
        <w:rStyle w:val="PageNumber"/>
        <w:noProof/>
      </w:rPr>
      <w:t>6</w:t>
    </w:r>
    <w:r w:rsidR="00017886">
      <w:rPr>
        <w:rStyle w:val="PageNumber"/>
      </w:rPr>
      <w:fldChar w:fldCharType="end"/>
    </w:r>
  </w:p>
  <w:p w14:paraId="5867A135" w14:textId="77777777" w:rsidR="00017886" w:rsidRDefault="00017886">
    <w:pPr>
      <w:pStyle w:val="Header"/>
      <w:tabs>
        <w:tab w:val="clear" w:pos="4153"/>
        <w:tab w:val="clear" w:pos="8306"/>
        <w:tab w:val="right" w:pos="8820"/>
      </w:tabs>
      <w:ind w:right="360"/>
      <w:jc w:val="center"/>
    </w:pPr>
    <w:r>
      <w:rPr>
        <w:noProof/>
        <w:lang w:eastAsia="en-NZ"/>
      </w:rPr>
      <w:drawing>
        <wp:anchor distT="0" distB="0" distL="114300" distR="114300" simplePos="0" relativeHeight="251656704" behindDoc="1" locked="0" layoutInCell="1" allowOverlap="1" wp14:anchorId="683E5A93" wp14:editId="3D6E1993">
          <wp:simplePos x="0" y="0"/>
          <wp:positionH relativeFrom="column">
            <wp:posOffset>5526479</wp:posOffset>
          </wp:positionH>
          <wp:positionV relativeFrom="paragraph">
            <wp:posOffset>-168630</wp:posOffset>
          </wp:positionV>
          <wp:extent cx="497840" cy="550545"/>
          <wp:effectExtent l="19050" t="0" r="0" b="1905"/>
          <wp:wrapNone/>
          <wp:docPr id="8" name="Picture 8" descr="Kaipara_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ipara_SM_Black"/>
                  <pic:cNvPicPr>
                    <a:picLocks noChangeAspect="1" noChangeArrowheads="1"/>
                  </pic:cNvPicPr>
                </pic:nvPicPr>
                <pic:blipFill>
                  <a:blip r:embed="rId1"/>
                  <a:srcRect/>
                  <a:stretch>
                    <a:fillRect/>
                  </a:stretch>
                </pic:blipFill>
                <pic:spPr bwMode="auto">
                  <a:xfrm>
                    <a:off x="0" y="0"/>
                    <a:ext cx="497840" cy="55054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6100" w14:textId="33411461" w:rsidR="00017886" w:rsidRDefault="00C72D1C">
    <w:pPr>
      <w:pStyle w:val="Header"/>
      <w:ind w:right="-290"/>
      <w:jc w:val="right"/>
      <w:rPr>
        <w:b/>
        <w:iCs/>
      </w:rPr>
    </w:pPr>
    <w:r>
      <w:rPr>
        <w:noProof/>
      </w:rPr>
      <w:pict w14:anchorId="1D49C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71974" o:spid="_x0000_s2053" type="#_x0000_t136" style="position:absolute;left:0;text-align:left;margin-left:0;margin-top:0;width:456.7pt;height:182.65pt;rotation:315;z-index:-251656704;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r w:rsidR="00017886">
      <w:rPr>
        <w:b/>
        <w:iCs/>
        <w:noProof/>
        <w:lang w:eastAsia="en-NZ"/>
      </w:rPr>
      <mc:AlternateContent>
        <mc:Choice Requires="wpg">
          <w:drawing>
            <wp:anchor distT="0" distB="0" distL="114300" distR="114300" simplePos="0" relativeHeight="251657728" behindDoc="1" locked="0" layoutInCell="1" allowOverlap="1" wp14:anchorId="2BF5FE8B" wp14:editId="1732D29F">
              <wp:simplePos x="0" y="0"/>
              <wp:positionH relativeFrom="column">
                <wp:posOffset>-288925</wp:posOffset>
              </wp:positionH>
              <wp:positionV relativeFrom="paragraph">
                <wp:posOffset>-360045</wp:posOffset>
              </wp:positionV>
              <wp:extent cx="7102475" cy="1054735"/>
              <wp:effectExtent l="0" t="0" r="3175"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1054735"/>
                        <a:chOff x="963" y="0"/>
                        <a:chExt cx="11185" cy="1661"/>
                      </a:xfrm>
                    </wpg:grpSpPr>
                    <wps:wsp>
                      <wps:cNvPr id="2" name="Text Box 11"/>
                      <wps:cNvSpPr txBox="1">
                        <a:spLocks noChangeArrowheads="1"/>
                      </wps:cNvSpPr>
                      <wps:spPr bwMode="auto">
                        <a:xfrm>
                          <a:off x="963" y="0"/>
                          <a:ext cx="4018" cy="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6D31D" w14:textId="77777777" w:rsidR="00017886" w:rsidRDefault="00017886">
                            <w:r w:rsidRPr="00A56FD9">
                              <w:rPr>
                                <w:rFonts w:ascii="Times New Roman" w:hAnsi="Times New Roman"/>
                              </w:rPr>
                              <w:object w:dxaOrig="3266" w:dyaOrig="1340" w14:anchorId="7486F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55pt;height:78.95pt" o:ole="">
                                  <v:imagedata r:id="rId1" o:title=""/>
                                </v:shape>
                                <o:OLEObject Type="Embed" ProgID="Word.Picture.8" ShapeID="_x0000_i1026" DrawAspect="Content" ObjectID="_1563370565" r:id="rId2"/>
                              </w:object>
                            </w:r>
                          </w:p>
                        </w:txbxContent>
                      </wps:txbx>
                      <wps:bodyPr rot="0" vert="horz" wrap="none" lIns="91440" tIns="45720" rIns="91440" bIns="45720" anchor="t" anchorCtr="0" upright="1">
                        <a:noAutofit/>
                      </wps:bodyPr>
                    </wps:wsp>
                    <wps:wsp>
                      <wps:cNvPr id="4" name="Text Box 12"/>
                      <wps:cNvSpPr txBox="1">
                        <a:spLocks noChangeArrowheads="1"/>
                      </wps:cNvSpPr>
                      <wps:spPr bwMode="auto">
                        <a:xfrm>
                          <a:off x="5882" y="804"/>
                          <a:ext cx="6266" cy="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C3609" w14:textId="77777777" w:rsidR="00017886" w:rsidRDefault="00017886">
                            <w:r>
                              <w:rPr>
                                <w:noProof/>
                                <w:lang w:eastAsia="en-NZ"/>
                              </w:rPr>
                              <w:drawing>
                                <wp:inline distT="0" distB="0" distL="0" distR="0" wp14:anchorId="79F6CB10" wp14:editId="0BD90DA4">
                                  <wp:extent cx="4157345" cy="446227"/>
                                  <wp:effectExtent l="0" t="0" r="0" b="0"/>
                                  <wp:docPr id="3" name="Picture 3" descr="KaiparaDistCounci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paraDistCouncil_Black"/>
                                          <pic:cNvPicPr>
                                            <a:picLocks noChangeAspect="1" noChangeArrowheads="1"/>
                                          </pic:cNvPicPr>
                                        </pic:nvPicPr>
                                        <pic:blipFill>
                                          <a:blip r:embed="rId3"/>
                                          <a:srcRect/>
                                          <a:stretch>
                                            <a:fillRect/>
                                          </a:stretch>
                                        </pic:blipFill>
                                        <pic:spPr bwMode="auto">
                                          <a:xfrm>
                                            <a:off x="0" y="0"/>
                                            <a:ext cx="4169208" cy="447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5" name="Line 13"/>
                      <wps:cNvCnPr>
                        <a:cxnSpLocks noChangeShapeType="1"/>
                      </wps:cNvCnPr>
                      <wps:spPr bwMode="auto">
                        <a:xfrm>
                          <a:off x="1353" y="1620"/>
                          <a:ext cx="943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F5FE8B" id="Group 17" o:spid="_x0000_s1026" style="position:absolute;left:0;text-align:left;margin-left:-22.75pt;margin-top:-28.35pt;width:559.25pt;height:83.05pt;z-index:-251658752" coordorigin="963" coordsize="11185,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">
              <v:shapetype id="_x0000_t202" coordsize="21600,21600" o:spt="202" path="m,l,21600r21600,l21600,xe">
                <v:stroke joinstyle="miter"/>
                <v:path gradientshapeok="t" o:connecttype="rect"/>
              </v:shapetype>
              <v:shape id="Text Box 11" o:spid="_x0000_s1027" type="#_x0000_t202" style="position:absolute;left:963;width:4031;height:1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ERsEA&#10;AADaAAAADwAAAGRycy9kb3ducmV2LnhtbESPzYoCMRCE7wu+Q2jB25pRcJHRKOIiCOLBH/DaJO1k&#10;cNIZJ1nNvv1GWPBYVNVX1HyZXCMe1IXas4LRsABBrL2puVJwPm0+pyBCRDbYeCYFvxRgueh9zLE0&#10;/skHehxjJTKEQ4kKbIxtKWXQlhyGoW+Js3f1ncOYZVdJ0+Ezw10jx0XxJR3WnBcstrS2pG/HH6fg&#10;Tt/71WVy1nqTJru9tmY3TUapQT+tZiAipfgO/7e3RsEYXlfyD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BEbBAAAA2gAAAA8AAAAAAAAAAAAAAAAAmAIAAGRycy9kb3du&#10;cmV2LnhtbFBLBQYAAAAABAAEAPUAAACGAwAAAAA=&#10;" stroked="f">
                <v:textbox>
                  <w:txbxContent>
                    <w:p w14:paraId="13C6D31D" w14:textId="77777777" w:rsidR="00017886" w:rsidRDefault="00017886">
                      <w:r w:rsidRPr="00A56FD9">
                        <w:rPr>
                          <w:rFonts w:ascii="Times New Roman" w:hAnsi="Times New Roman"/>
                        </w:rPr>
                        <w:object w:dxaOrig="3266" w:dyaOrig="1340" w14:anchorId="7486FF23">
                          <v:shape id="_x0000_i1026" type="#_x0000_t75" style="width:186.75pt;height:79pt" o:ole="">
                            <v:imagedata r:id="rId4" o:title=""/>
                          </v:shape>
                          <o:OLEObject Type="Embed" ProgID="Word.Picture.8" ShapeID="_x0000_i1026" DrawAspect="Content" ObjectID="_1563281270" r:id="rId5"/>
                        </w:object>
                      </w:r>
                    </w:p>
                  </w:txbxContent>
                </v:textbox>
              </v:shape>
              <v:shape id="Text Box 12" o:spid="_x0000_s1028" type="#_x0000_t202" style="position:absolute;left:5882;top:804;width:6266;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37CC3609" w14:textId="77777777" w:rsidR="00017886" w:rsidRDefault="00017886">
                      <w:r>
                        <w:rPr>
                          <w:noProof/>
                          <w:lang w:eastAsia="en-NZ"/>
                        </w:rPr>
                        <w:drawing>
                          <wp:inline distT="0" distB="0" distL="0" distR="0" wp14:anchorId="79F6CB10" wp14:editId="0BD90DA4">
                            <wp:extent cx="4157345" cy="446227"/>
                            <wp:effectExtent l="0" t="0" r="0" b="0"/>
                            <wp:docPr id="3" name="Picture 3" descr="KaiparaDistCounci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paraDistCouncil_Black"/>
                                    <pic:cNvPicPr>
                                      <a:picLocks noChangeAspect="1" noChangeArrowheads="1"/>
                                    </pic:cNvPicPr>
                                  </pic:nvPicPr>
                                  <pic:blipFill>
                                    <a:blip r:embed="rId6"/>
                                    <a:srcRect/>
                                    <a:stretch>
                                      <a:fillRect/>
                                    </a:stretch>
                                  </pic:blipFill>
                                  <pic:spPr bwMode="auto">
                                    <a:xfrm>
                                      <a:off x="0" y="0"/>
                                      <a:ext cx="4169208" cy="447500"/>
                                    </a:xfrm>
                                    <a:prstGeom prst="rect">
                                      <a:avLst/>
                                    </a:prstGeom>
                                    <a:noFill/>
                                    <a:ln w="9525">
                                      <a:noFill/>
                                      <a:miter lim="800000"/>
                                      <a:headEnd/>
                                      <a:tailEnd/>
                                    </a:ln>
                                  </pic:spPr>
                                </pic:pic>
                              </a:graphicData>
                            </a:graphic>
                          </wp:inline>
                        </w:drawing>
                      </w:r>
                    </w:p>
                  </w:txbxContent>
                </v:textbox>
              </v:shape>
              <v:line id="Line 13" o:spid="_x0000_s1029" style="position:absolute;visibility:visible;mso-wrap-style:square" from="1353,1620" to="1079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DE5C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9C15A0"/>
    <w:multiLevelType w:val="hybridMultilevel"/>
    <w:tmpl w:val="9FD4187A"/>
    <w:lvl w:ilvl="0" w:tplc="1409000F">
      <w:start w:val="1"/>
      <w:numFmt w:val="decimal"/>
      <w:lvlText w:val="%1."/>
      <w:lvlJc w:val="left"/>
      <w:pPr>
        <w:ind w:left="2880" w:hanging="360"/>
      </w:p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2" w15:restartNumberingAfterBreak="0">
    <w:nsid w:val="14802732"/>
    <w:multiLevelType w:val="hybridMultilevel"/>
    <w:tmpl w:val="941802FC"/>
    <w:lvl w:ilvl="0" w:tplc="1409000F">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97A73A3"/>
    <w:multiLevelType w:val="hybridMultilevel"/>
    <w:tmpl w:val="F16432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35A64F7E"/>
    <w:multiLevelType w:val="hybridMultilevel"/>
    <w:tmpl w:val="B194E9EA"/>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3CFF4E40"/>
    <w:multiLevelType w:val="hybridMultilevel"/>
    <w:tmpl w:val="4EF6C456"/>
    <w:lvl w:ilvl="0" w:tplc="1409000F">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80C0C5B"/>
    <w:multiLevelType w:val="hybridMultilevel"/>
    <w:tmpl w:val="481CDC1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58EF2328"/>
    <w:multiLevelType w:val="hybridMultilevel"/>
    <w:tmpl w:val="91A6262C"/>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21513EE"/>
    <w:multiLevelType w:val="hybridMultilevel"/>
    <w:tmpl w:val="4D7A92BE"/>
    <w:lvl w:ilvl="0" w:tplc="EB8A90F0">
      <w:start w:val="1"/>
      <w:numFmt w:val="bullet"/>
      <w:pStyle w:val="bullet"/>
      <w:lvlText w:val=""/>
      <w:lvlJc w:val="left"/>
      <w:pPr>
        <w:ind w:left="720" w:hanging="360"/>
      </w:pPr>
      <w:rPr>
        <w:rFonts w:ascii="Wingdings 2" w:hAnsi="Wingdings 2" w:hint="default"/>
        <w:b w:val="0"/>
        <w:i w:val="0"/>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BF74469"/>
    <w:multiLevelType w:val="hybridMultilevel"/>
    <w:tmpl w:val="4FF017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C844F2B"/>
    <w:multiLevelType w:val="hybridMultilevel"/>
    <w:tmpl w:val="D7A45FC6"/>
    <w:lvl w:ilvl="0" w:tplc="1409000F">
      <w:start w:val="1"/>
      <w:numFmt w:val="decimal"/>
      <w:lvlText w:val="%1."/>
      <w:lvlJc w:val="left"/>
      <w:pPr>
        <w:ind w:left="927"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F8171B4"/>
    <w:multiLevelType w:val="hybridMultilevel"/>
    <w:tmpl w:val="BB5EBC3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72186603"/>
    <w:multiLevelType w:val="hybridMultilevel"/>
    <w:tmpl w:val="9418FB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7A82D53"/>
    <w:multiLevelType w:val="hybridMultilevel"/>
    <w:tmpl w:val="0FB26ECC"/>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B4443C8"/>
    <w:multiLevelType w:val="hybridMultilevel"/>
    <w:tmpl w:val="3598888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3"/>
  </w:num>
  <w:num w:numId="6">
    <w:abstractNumId w:val="10"/>
  </w:num>
  <w:num w:numId="7">
    <w:abstractNumId w:val="4"/>
  </w:num>
  <w:num w:numId="8">
    <w:abstractNumId w:val="11"/>
  </w:num>
  <w:num w:numId="9">
    <w:abstractNumId w:val="6"/>
  </w:num>
  <w:num w:numId="10">
    <w:abstractNumId w:val="14"/>
  </w:num>
  <w:num w:numId="11">
    <w:abstractNumId w:val="7"/>
  </w:num>
  <w:num w:numId="12">
    <w:abstractNumId w:val="13"/>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21"/>
    <w:rsid w:val="00003E03"/>
    <w:rsid w:val="00010F05"/>
    <w:rsid w:val="00017886"/>
    <w:rsid w:val="00026184"/>
    <w:rsid w:val="00034B6C"/>
    <w:rsid w:val="000561C9"/>
    <w:rsid w:val="000566D5"/>
    <w:rsid w:val="00072E4A"/>
    <w:rsid w:val="00081021"/>
    <w:rsid w:val="000861FE"/>
    <w:rsid w:val="000A16CB"/>
    <w:rsid w:val="000C1392"/>
    <w:rsid w:val="000C522D"/>
    <w:rsid w:val="000C66B9"/>
    <w:rsid w:val="000E31EC"/>
    <w:rsid w:val="000F11A2"/>
    <w:rsid w:val="00103E57"/>
    <w:rsid w:val="00112BD9"/>
    <w:rsid w:val="0012682C"/>
    <w:rsid w:val="00133541"/>
    <w:rsid w:val="00147F29"/>
    <w:rsid w:val="001544C3"/>
    <w:rsid w:val="00155924"/>
    <w:rsid w:val="0017546B"/>
    <w:rsid w:val="0019669F"/>
    <w:rsid w:val="001A42CC"/>
    <w:rsid w:val="001C368F"/>
    <w:rsid w:val="001C5386"/>
    <w:rsid w:val="001C53FB"/>
    <w:rsid w:val="001C5790"/>
    <w:rsid w:val="001D3D90"/>
    <w:rsid w:val="001E4D55"/>
    <w:rsid w:val="001E5C9B"/>
    <w:rsid w:val="001E698F"/>
    <w:rsid w:val="001E6DBB"/>
    <w:rsid w:val="001F65CF"/>
    <w:rsid w:val="00215B3B"/>
    <w:rsid w:val="002168B7"/>
    <w:rsid w:val="00241662"/>
    <w:rsid w:val="00242B2F"/>
    <w:rsid w:val="00261A3A"/>
    <w:rsid w:val="00281242"/>
    <w:rsid w:val="0029423D"/>
    <w:rsid w:val="002A5095"/>
    <w:rsid w:val="002B4692"/>
    <w:rsid w:val="002C3590"/>
    <w:rsid w:val="002E0CF9"/>
    <w:rsid w:val="002E6786"/>
    <w:rsid w:val="002F4F36"/>
    <w:rsid w:val="002F505B"/>
    <w:rsid w:val="003010E1"/>
    <w:rsid w:val="00320EFA"/>
    <w:rsid w:val="00321CF8"/>
    <w:rsid w:val="00337F96"/>
    <w:rsid w:val="00351334"/>
    <w:rsid w:val="003513EF"/>
    <w:rsid w:val="00357A2C"/>
    <w:rsid w:val="00357E1B"/>
    <w:rsid w:val="00360A1F"/>
    <w:rsid w:val="00363E9A"/>
    <w:rsid w:val="003662E8"/>
    <w:rsid w:val="00371870"/>
    <w:rsid w:val="00374CCA"/>
    <w:rsid w:val="00374CE5"/>
    <w:rsid w:val="00381DAF"/>
    <w:rsid w:val="003906E6"/>
    <w:rsid w:val="0039223E"/>
    <w:rsid w:val="003A099C"/>
    <w:rsid w:val="003A1150"/>
    <w:rsid w:val="003C0236"/>
    <w:rsid w:val="003E1081"/>
    <w:rsid w:val="003E4182"/>
    <w:rsid w:val="003E6C35"/>
    <w:rsid w:val="004128F8"/>
    <w:rsid w:val="00414B33"/>
    <w:rsid w:val="00431629"/>
    <w:rsid w:val="0044080C"/>
    <w:rsid w:val="00467C05"/>
    <w:rsid w:val="0047208E"/>
    <w:rsid w:val="00474199"/>
    <w:rsid w:val="0047685C"/>
    <w:rsid w:val="00485AF6"/>
    <w:rsid w:val="004928ED"/>
    <w:rsid w:val="004A73F5"/>
    <w:rsid w:val="004B5400"/>
    <w:rsid w:val="004B7FCF"/>
    <w:rsid w:val="004D74C6"/>
    <w:rsid w:val="004E0208"/>
    <w:rsid w:val="004F30E4"/>
    <w:rsid w:val="004F3634"/>
    <w:rsid w:val="004F5C83"/>
    <w:rsid w:val="004F7E7B"/>
    <w:rsid w:val="0051274A"/>
    <w:rsid w:val="005207D3"/>
    <w:rsid w:val="00532B18"/>
    <w:rsid w:val="0054377C"/>
    <w:rsid w:val="0054485C"/>
    <w:rsid w:val="0054685B"/>
    <w:rsid w:val="005517E8"/>
    <w:rsid w:val="00552169"/>
    <w:rsid w:val="00554F6A"/>
    <w:rsid w:val="0055615A"/>
    <w:rsid w:val="00562518"/>
    <w:rsid w:val="0056363E"/>
    <w:rsid w:val="00566087"/>
    <w:rsid w:val="00567533"/>
    <w:rsid w:val="005709C5"/>
    <w:rsid w:val="00575F03"/>
    <w:rsid w:val="005A121C"/>
    <w:rsid w:val="005A1489"/>
    <w:rsid w:val="005A496B"/>
    <w:rsid w:val="005B4EEE"/>
    <w:rsid w:val="005D2482"/>
    <w:rsid w:val="005F5212"/>
    <w:rsid w:val="00610E93"/>
    <w:rsid w:val="0061646A"/>
    <w:rsid w:val="00625FF5"/>
    <w:rsid w:val="00634325"/>
    <w:rsid w:val="00635E83"/>
    <w:rsid w:val="0066334C"/>
    <w:rsid w:val="006720F1"/>
    <w:rsid w:val="006746AA"/>
    <w:rsid w:val="00684C6C"/>
    <w:rsid w:val="00690756"/>
    <w:rsid w:val="006A1329"/>
    <w:rsid w:val="006B3D64"/>
    <w:rsid w:val="006D26A6"/>
    <w:rsid w:val="006D5F53"/>
    <w:rsid w:val="006F0EAE"/>
    <w:rsid w:val="006F668A"/>
    <w:rsid w:val="00707596"/>
    <w:rsid w:val="00712809"/>
    <w:rsid w:val="00722100"/>
    <w:rsid w:val="00730295"/>
    <w:rsid w:val="007411AC"/>
    <w:rsid w:val="00761356"/>
    <w:rsid w:val="00787E33"/>
    <w:rsid w:val="007930F4"/>
    <w:rsid w:val="007A17D3"/>
    <w:rsid w:val="007A383C"/>
    <w:rsid w:val="007A679F"/>
    <w:rsid w:val="007A7EF0"/>
    <w:rsid w:val="007C6A76"/>
    <w:rsid w:val="007D03C7"/>
    <w:rsid w:val="007D65DB"/>
    <w:rsid w:val="007F2F6A"/>
    <w:rsid w:val="0080115C"/>
    <w:rsid w:val="00803871"/>
    <w:rsid w:val="0080458B"/>
    <w:rsid w:val="0081708F"/>
    <w:rsid w:val="00825F95"/>
    <w:rsid w:val="00826B15"/>
    <w:rsid w:val="00827F33"/>
    <w:rsid w:val="00832298"/>
    <w:rsid w:val="00832555"/>
    <w:rsid w:val="00835559"/>
    <w:rsid w:val="008501C4"/>
    <w:rsid w:val="008523EF"/>
    <w:rsid w:val="00854A56"/>
    <w:rsid w:val="008607A6"/>
    <w:rsid w:val="00872784"/>
    <w:rsid w:val="00874E40"/>
    <w:rsid w:val="00877BD6"/>
    <w:rsid w:val="008824D5"/>
    <w:rsid w:val="008B5956"/>
    <w:rsid w:val="008D43E3"/>
    <w:rsid w:val="008D6F88"/>
    <w:rsid w:val="008E0277"/>
    <w:rsid w:val="008E06DC"/>
    <w:rsid w:val="008E2C5B"/>
    <w:rsid w:val="008E5FE5"/>
    <w:rsid w:val="008E6540"/>
    <w:rsid w:val="008E6686"/>
    <w:rsid w:val="008E79AF"/>
    <w:rsid w:val="008F4F2C"/>
    <w:rsid w:val="00904373"/>
    <w:rsid w:val="009044BE"/>
    <w:rsid w:val="00904526"/>
    <w:rsid w:val="00904717"/>
    <w:rsid w:val="00904999"/>
    <w:rsid w:val="00913C74"/>
    <w:rsid w:val="009305C3"/>
    <w:rsid w:val="009606C5"/>
    <w:rsid w:val="00970C76"/>
    <w:rsid w:val="00983C88"/>
    <w:rsid w:val="009869EA"/>
    <w:rsid w:val="00992B6E"/>
    <w:rsid w:val="0099644F"/>
    <w:rsid w:val="00997C23"/>
    <w:rsid w:val="009B4FE0"/>
    <w:rsid w:val="009D0BB6"/>
    <w:rsid w:val="009D1AF4"/>
    <w:rsid w:val="00A001E5"/>
    <w:rsid w:val="00A117E7"/>
    <w:rsid w:val="00A1659D"/>
    <w:rsid w:val="00A346A2"/>
    <w:rsid w:val="00A41084"/>
    <w:rsid w:val="00A53B9D"/>
    <w:rsid w:val="00A54776"/>
    <w:rsid w:val="00A56FD9"/>
    <w:rsid w:val="00A60D28"/>
    <w:rsid w:val="00A771BC"/>
    <w:rsid w:val="00AA10A4"/>
    <w:rsid w:val="00AC3319"/>
    <w:rsid w:val="00AC6668"/>
    <w:rsid w:val="00AD0FD5"/>
    <w:rsid w:val="00AE0380"/>
    <w:rsid w:val="00AE5EFF"/>
    <w:rsid w:val="00AF32E6"/>
    <w:rsid w:val="00AF6B4F"/>
    <w:rsid w:val="00B25F65"/>
    <w:rsid w:val="00B358F8"/>
    <w:rsid w:val="00B560C7"/>
    <w:rsid w:val="00B607B3"/>
    <w:rsid w:val="00B72CAD"/>
    <w:rsid w:val="00B80706"/>
    <w:rsid w:val="00B8294B"/>
    <w:rsid w:val="00B91638"/>
    <w:rsid w:val="00B92763"/>
    <w:rsid w:val="00B9361A"/>
    <w:rsid w:val="00B9394B"/>
    <w:rsid w:val="00BB0169"/>
    <w:rsid w:val="00BB24D2"/>
    <w:rsid w:val="00BB462B"/>
    <w:rsid w:val="00BD53A2"/>
    <w:rsid w:val="00BE1EB9"/>
    <w:rsid w:val="00BE2C9A"/>
    <w:rsid w:val="00BE5F0C"/>
    <w:rsid w:val="00BF4228"/>
    <w:rsid w:val="00BF4DA2"/>
    <w:rsid w:val="00BF4E20"/>
    <w:rsid w:val="00C0103F"/>
    <w:rsid w:val="00C01BB0"/>
    <w:rsid w:val="00C05FFC"/>
    <w:rsid w:val="00C24E15"/>
    <w:rsid w:val="00C2614F"/>
    <w:rsid w:val="00C32A05"/>
    <w:rsid w:val="00C45A63"/>
    <w:rsid w:val="00C538C2"/>
    <w:rsid w:val="00C53AFC"/>
    <w:rsid w:val="00C70C3B"/>
    <w:rsid w:val="00C72D1C"/>
    <w:rsid w:val="00C7558A"/>
    <w:rsid w:val="00C81593"/>
    <w:rsid w:val="00C83957"/>
    <w:rsid w:val="00C86C44"/>
    <w:rsid w:val="00C931EB"/>
    <w:rsid w:val="00C947A0"/>
    <w:rsid w:val="00CB19F3"/>
    <w:rsid w:val="00CC0C3F"/>
    <w:rsid w:val="00CC0FD9"/>
    <w:rsid w:val="00CC49FF"/>
    <w:rsid w:val="00CC5F0E"/>
    <w:rsid w:val="00CC6920"/>
    <w:rsid w:val="00CD4A76"/>
    <w:rsid w:val="00CE203A"/>
    <w:rsid w:val="00CE292F"/>
    <w:rsid w:val="00CF23C7"/>
    <w:rsid w:val="00CF5F8D"/>
    <w:rsid w:val="00D07692"/>
    <w:rsid w:val="00D16671"/>
    <w:rsid w:val="00D317F7"/>
    <w:rsid w:val="00D3326D"/>
    <w:rsid w:val="00D33DEC"/>
    <w:rsid w:val="00D37379"/>
    <w:rsid w:val="00D41B08"/>
    <w:rsid w:val="00D4395D"/>
    <w:rsid w:val="00D443F4"/>
    <w:rsid w:val="00D547A6"/>
    <w:rsid w:val="00D606CC"/>
    <w:rsid w:val="00D6600D"/>
    <w:rsid w:val="00D71696"/>
    <w:rsid w:val="00D80A94"/>
    <w:rsid w:val="00D83047"/>
    <w:rsid w:val="00D8624D"/>
    <w:rsid w:val="00D9634D"/>
    <w:rsid w:val="00DB6A0E"/>
    <w:rsid w:val="00DC3714"/>
    <w:rsid w:val="00DC43DB"/>
    <w:rsid w:val="00DC5BD8"/>
    <w:rsid w:val="00DD1260"/>
    <w:rsid w:val="00DD6D84"/>
    <w:rsid w:val="00DD7C06"/>
    <w:rsid w:val="00DF6456"/>
    <w:rsid w:val="00E13222"/>
    <w:rsid w:val="00E437FB"/>
    <w:rsid w:val="00E73816"/>
    <w:rsid w:val="00E74076"/>
    <w:rsid w:val="00E8102D"/>
    <w:rsid w:val="00E966A4"/>
    <w:rsid w:val="00E9735E"/>
    <w:rsid w:val="00EA07F7"/>
    <w:rsid w:val="00EA203E"/>
    <w:rsid w:val="00EB4BB4"/>
    <w:rsid w:val="00EC1EF1"/>
    <w:rsid w:val="00ED2E92"/>
    <w:rsid w:val="00ED43AC"/>
    <w:rsid w:val="00ED641B"/>
    <w:rsid w:val="00EE0B72"/>
    <w:rsid w:val="00EE48C7"/>
    <w:rsid w:val="00EF1E76"/>
    <w:rsid w:val="00EF3CF0"/>
    <w:rsid w:val="00EF77C4"/>
    <w:rsid w:val="00F2076F"/>
    <w:rsid w:val="00F266CD"/>
    <w:rsid w:val="00F42733"/>
    <w:rsid w:val="00F4408F"/>
    <w:rsid w:val="00F612D6"/>
    <w:rsid w:val="00F64E00"/>
    <w:rsid w:val="00F66DD4"/>
    <w:rsid w:val="00F74AA4"/>
    <w:rsid w:val="00F86058"/>
    <w:rsid w:val="00F92D82"/>
    <w:rsid w:val="00F930C1"/>
    <w:rsid w:val="00F946B9"/>
    <w:rsid w:val="00FA614C"/>
    <w:rsid w:val="00FC2A09"/>
    <w:rsid w:val="00FC42C7"/>
    <w:rsid w:val="00FD5510"/>
    <w:rsid w:val="00FE0D5C"/>
    <w:rsid w:val="00FF0344"/>
    <w:rsid w:val="00FF3861"/>
    <w:rsid w:val="00FF7E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FD46300"/>
  <w15:docId w15:val="{07C2EC4B-8318-465A-B2E9-E6AE6130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5A"/>
    <w:pPr>
      <w:spacing w:before="120" w:line="360" w:lineRule="auto"/>
    </w:pPr>
    <w:rPr>
      <w:rFonts w:ascii="Arial" w:hAnsi="Arial"/>
      <w:szCs w:val="24"/>
      <w:lang w:eastAsia="en-US"/>
    </w:rPr>
  </w:style>
  <w:style w:type="paragraph" w:styleId="Heading1">
    <w:name w:val="heading 1"/>
    <w:basedOn w:val="Normal"/>
    <w:next w:val="Normal"/>
    <w:qFormat/>
    <w:rsid w:val="002A5095"/>
    <w:pPr>
      <w:keepNext/>
      <w:shd w:val="clear" w:color="auto" w:fill="C6D9F1" w:themeFill="text2" w:themeFillTint="33"/>
      <w:outlineLvl w:val="0"/>
    </w:pPr>
    <w:rPr>
      <w:rFonts w:eastAsiaTheme="minorHAnsi" w:cstheme="minorBidi"/>
      <w:b/>
      <w:bCs/>
      <w:szCs w:val="20"/>
    </w:rPr>
  </w:style>
  <w:style w:type="paragraph" w:styleId="Heading2">
    <w:name w:val="heading 2"/>
    <w:basedOn w:val="Normal"/>
    <w:next w:val="Normal"/>
    <w:qFormat/>
    <w:rsid w:val="00A56FD9"/>
    <w:pPr>
      <w:keepNext/>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6FD9"/>
    <w:pPr>
      <w:tabs>
        <w:tab w:val="center" w:pos="4153"/>
        <w:tab w:val="right" w:pos="8306"/>
      </w:tabs>
    </w:pPr>
    <w:rPr>
      <w:szCs w:val="20"/>
    </w:rPr>
  </w:style>
  <w:style w:type="paragraph" w:styleId="Footer">
    <w:name w:val="footer"/>
    <w:basedOn w:val="Normal"/>
    <w:rsid w:val="00A56FD9"/>
    <w:pPr>
      <w:tabs>
        <w:tab w:val="center" w:pos="4153"/>
        <w:tab w:val="right" w:pos="8306"/>
      </w:tabs>
    </w:pPr>
    <w:rPr>
      <w:szCs w:val="20"/>
    </w:rPr>
  </w:style>
  <w:style w:type="paragraph" w:styleId="Title">
    <w:name w:val="Title"/>
    <w:basedOn w:val="Normal"/>
    <w:link w:val="TitleChar"/>
    <w:qFormat/>
    <w:rsid w:val="0055615A"/>
    <w:pPr>
      <w:spacing w:before="0"/>
    </w:pPr>
    <w:rPr>
      <w:rFonts w:cs="Arial"/>
      <w:b/>
      <w:bCs/>
    </w:rPr>
  </w:style>
  <w:style w:type="character" w:styleId="PageNumber">
    <w:name w:val="page number"/>
    <w:basedOn w:val="DefaultParagraphFont"/>
    <w:rsid w:val="00A56FD9"/>
  </w:style>
  <w:style w:type="paragraph" w:styleId="ListBullet">
    <w:name w:val="List Bullet"/>
    <w:basedOn w:val="Normal"/>
    <w:autoRedefine/>
    <w:rsid w:val="00A56FD9"/>
    <w:pPr>
      <w:numPr>
        <w:numId w:val="1"/>
      </w:numPr>
    </w:pPr>
  </w:style>
  <w:style w:type="character" w:styleId="PlaceholderText">
    <w:name w:val="Placeholder Text"/>
    <w:basedOn w:val="DefaultParagraphFont"/>
    <w:uiPriority w:val="99"/>
    <w:semiHidden/>
    <w:rsid w:val="00474199"/>
    <w:rPr>
      <w:color w:val="808080"/>
    </w:rPr>
  </w:style>
  <w:style w:type="paragraph" w:styleId="BalloonText">
    <w:name w:val="Balloon Text"/>
    <w:basedOn w:val="Normal"/>
    <w:link w:val="BalloonTextChar"/>
    <w:rsid w:val="008E06D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E06DC"/>
    <w:rPr>
      <w:rFonts w:ascii="Tahoma" w:hAnsi="Tahoma" w:cs="Tahoma"/>
      <w:sz w:val="16"/>
      <w:szCs w:val="16"/>
      <w:lang w:eastAsia="en-US"/>
    </w:rPr>
  </w:style>
  <w:style w:type="paragraph" w:customStyle="1" w:styleId="bullet">
    <w:name w:val="bullet"/>
    <w:basedOn w:val="Normal"/>
    <w:link w:val="bulletChar"/>
    <w:qFormat/>
    <w:rsid w:val="00D443F4"/>
    <w:pPr>
      <w:numPr>
        <w:numId w:val="2"/>
      </w:numPr>
      <w:spacing w:before="0"/>
      <w:ind w:left="567" w:hanging="567"/>
    </w:pPr>
  </w:style>
  <w:style w:type="character" w:customStyle="1" w:styleId="bulletChar">
    <w:name w:val="bullet Char"/>
    <w:basedOn w:val="DefaultParagraphFont"/>
    <w:link w:val="bullet"/>
    <w:rsid w:val="00D443F4"/>
    <w:rPr>
      <w:rFonts w:ascii="Arial" w:hAnsi="Arial"/>
      <w:szCs w:val="24"/>
      <w:lang w:eastAsia="en-US"/>
    </w:rPr>
  </w:style>
  <w:style w:type="paragraph" w:customStyle="1" w:styleId="Head2">
    <w:name w:val="Head 2"/>
    <w:basedOn w:val="BodyText2"/>
    <w:link w:val="Head2Char"/>
    <w:qFormat/>
    <w:rsid w:val="000C522D"/>
    <w:pPr>
      <w:spacing w:after="0" w:line="360" w:lineRule="auto"/>
    </w:pPr>
    <w:rPr>
      <w:rFonts w:cs="Arial"/>
      <w:b/>
      <w:color w:val="000000"/>
      <w:lang w:val="en-US"/>
    </w:rPr>
  </w:style>
  <w:style w:type="character" w:customStyle="1" w:styleId="Head2Char">
    <w:name w:val="Head 2 Char"/>
    <w:basedOn w:val="BodyText2Char"/>
    <w:link w:val="Head2"/>
    <w:rsid w:val="000C522D"/>
    <w:rPr>
      <w:rFonts w:ascii="Arial" w:hAnsi="Arial" w:cs="Arial"/>
      <w:b/>
      <w:color w:val="000000"/>
      <w:szCs w:val="24"/>
      <w:lang w:val="en-US" w:eastAsia="en-US"/>
    </w:rPr>
  </w:style>
  <w:style w:type="paragraph" w:styleId="BodyText2">
    <w:name w:val="Body Text 2"/>
    <w:basedOn w:val="Normal"/>
    <w:link w:val="BodyText2Char"/>
    <w:rsid w:val="000C522D"/>
    <w:pPr>
      <w:spacing w:after="120" w:line="480" w:lineRule="auto"/>
    </w:pPr>
  </w:style>
  <w:style w:type="character" w:customStyle="1" w:styleId="BodyText2Char">
    <w:name w:val="Body Text 2 Char"/>
    <w:basedOn w:val="DefaultParagraphFont"/>
    <w:link w:val="BodyText2"/>
    <w:rsid w:val="000C522D"/>
    <w:rPr>
      <w:rFonts w:ascii="Arial" w:hAnsi="Arial"/>
      <w:szCs w:val="24"/>
      <w:lang w:eastAsia="en-US"/>
    </w:rPr>
  </w:style>
  <w:style w:type="paragraph" w:customStyle="1" w:styleId="plain">
    <w:name w:val="plain"/>
    <w:basedOn w:val="Normal"/>
    <w:link w:val="plainChar"/>
    <w:qFormat/>
    <w:rsid w:val="000C522D"/>
  </w:style>
  <w:style w:type="character" w:customStyle="1" w:styleId="plainChar">
    <w:name w:val="plain Char"/>
    <w:basedOn w:val="DefaultParagraphFont"/>
    <w:link w:val="plain"/>
    <w:rsid w:val="000C522D"/>
    <w:rPr>
      <w:rFonts w:ascii="Arial" w:hAnsi="Arial"/>
      <w:szCs w:val="24"/>
      <w:lang w:eastAsia="en-US"/>
    </w:rPr>
  </w:style>
  <w:style w:type="paragraph" w:customStyle="1" w:styleId="bold">
    <w:name w:val="bold"/>
    <w:basedOn w:val="Title"/>
    <w:link w:val="boldChar"/>
    <w:qFormat/>
    <w:rsid w:val="009305C3"/>
    <w:pPr>
      <w:tabs>
        <w:tab w:val="left" w:pos="1701"/>
      </w:tabs>
    </w:pPr>
  </w:style>
  <w:style w:type="character" w:customStyle="1" w:styleId="TitleChar">
    <w:name w:val="Title Char"/>
    <w:basedOn w:val="DefaultParagraphFont"/>
    <w:link w:val="Title"/>
    <w:rsid w:val="009305C3"/>
    <w:rPr>
      <w:rFonts w:ascii="Arial" w:hAnsi="Arial" w:cs="Arial"/>
      <w:b/>
      <w:bCs/>
      <w:szCs w:val="24"/>
      <w:lang w:eastAsia="en-US"/>
    </w:rPr>
  </w:style>
  <w:style w:type="character" w:customStyle="1" w:styleId="boldChar">
    <w:name w:val="bold Char"/>
    <w:basedOn w:val="TitleChar"/>
    <w:link w:val="bold"/>
    <w:rsid w:val="009305C3"/>
    <w:rPr>
      <w:rFonts w:ascii="Arial" w:hAnsi="Arial" w:cs="Arial"/>
      <w:b/>
      <w:bCs/>
      <w:szCs w:val="24"/>
      <w:lang w:eastAsia="en-US"/>
    </w:rPr>
  </w:style>
  <w:style w:type="paragraph" w:styleId="ListParagraph">
    <w:name w:val="List Paragraph"/>
    <w:basedOn w:val="Normal"/>
    <w:link w:val="ListParagraphChar"/>
    <w:uiPriority w:val="34"/>
    <w:qFormat/>
    <w:rsid w:val="00081021"/>
    <w:pPr>
      <w:spacing w:before="0"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0810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81021"/>
    <w:rPr>
      <w:rFonts w:asciiTheme="minorHAnsi" w:eastAsiaTheme="minorHAnsi" w:hAnsiTheme="minorHAnsi" w:cstheme="minorBidi"/>
      <w:szCs w:val="22"/>
      <w:lang w:eastAsia="en-US"/>
    </w:rPr>
  </w:style>
  <w:style w:type="character" w:styleId="CommentReference">
    <w:name w:val="annotation reference"/>
    <w:basedOn w:val="DefaultParagraphFont"/>
    <w:semiHidden/>
    <w:unhideWhenUsed/>
    <w:rsid w:val="00CD4A76"/>
    <w:rPr>
      <w:sz w:val="16"/>
      <w:szCs w:val="16"/>
    </w:rPr>
  </w:style>
  <w:style w:type="paragraph" w:styleId="CommentText">
    <w:name w:val="annotation text"/>
    <w:basedOn w:val="Normal"/>
    <w:link w:val="CommentTextChar"/>
    <w:semiHidden/>
    <w:unhideWhenUsed/>
    <w:rsid w:val="00CD4A76"/>
    <w:pPr>
      <w:spacing w:line="240" w:lineRule="auto"/>
    </w:pPr>
    <w:rPr>
      <w:szCs w:val="20"/>
    </w:rPr>
  </w:style>
  <w:style w:type="character" w:customStyle="1" w:styleId="CommentTextChar">
    <w:name w:val="Comment Text Char"/>
    <w:basedOn w:val="DefaultParagraphFont"/>
    <w:link w:val="CommentText"/>
    <w:semiHidden/>
    <w:rsid w:val="00CD4A76"/>
    <w:rPr>
      <w:rFonts w:ascii="Arial" w:hAnsi="Arial"/>
      <w:lang w:eastAsia="en-US"/>
    </w:rPr>
  </w:style>
  <w:style w:type="paragraph" w:styleId="CommentSubject">
    <w:name w:val="annotation subject"/>
    <w:basedOn w:val="CommentText"/>
    <w:next w:val="CommentText"/>
    <w:link w:val="CommentSubjectChar"/>
    <w:semiHidden/>
    <w:unhideWhenUsed/>
    <w:rsid w:val="00CD4A76"/>
    <w:rPr>
      <w:b/>
      <w:bCs/>
    </w:rPr>
  </w:style>
  <w:style w:type="character" w:customStyle="1" w:styleId="CommentSubjectChar">
    <w:name w:val="Comment Subject Char"/>
    <w:basedOn w:val="CommentTextChar"/>
    <w:link w:val="CommentSubject"/>
    <w:semiHidden/>
    <w:rsid w:val="00CD4A76"/>
    <w:rPr>
      <w:rFonts w:ascii="Arial" w:hAnsi="Arial"/>
      <w:b/>
      <w:bCs/>
      <w:lang w:eastAsia="en-US"/>
    </w:rPr>
  </w:style>
  <w:style w:type="character" w:styleId="Emphasis">
    <w:name w:val="Emphasis"/>
    <w:basedOn w:val="DefaultParagraphFont"/>
    <w:uiPriority w:val="20"/>
    <w:qFormat/>
    <w:rsid w:val="00722100"/>
    <w:rPr>
      <w:i/>
      <w:iCs/>
    </w:rPr>
  </w:style>
  <w:style w:type="character" w:customStyle="1" w:styleId="apple-converted-space">
    <w:name w:val="apple-converted-space"/>
    <w:basedOn w:val="DefaultParagraphFont"/>
    <w:rsid w:val="00722100"/>
  </w:style>
  <w:style w:type="paragraph" w:customStyle="1" w:styleId="bodyitalic">
    <w:name w:val="bodyitalic"/>
    <w:basedOn w:val="plain"/>
    <w:link w:val="bodyitalicChar"/>
    <w:qFormat/>
    <w:rsid w:val="007D65DB"/>
    <w:rPr>
      <w:i/>
    </w:rPr>
  </w:style>
  <w:style w:type="character" w:customStyle="1" w:styleId="bodyitalicChar">
    <w:name w:val="bodyitalic Char"/>
    <w:basedOn w:val="plainChar"/>
    <w:link w:val="bodyitalic"/>
    <w:rsid w:val="007D65DB"/>
    <w:rPr>
      <w:rFonts w:ascii="Arial" w:hAnsi="Arial"/>
      <w:i/>
      <w:szCs w:val="24"/>
      <w:lang w:eastAsia="en-US"/>
    </w:rPr>
  </w:style>
  <w:style w:type="paragraph" w:customStyle="1" w:styleId="bodyindent">
    <w:name w:val="bodyindent"/>
    <w:basedOn w:val="Normal"/>
    <w:link w:val="bodyindentChar"/>
    <w:qFormat/>
    <w:rsid w:val="0044080C"/>
    <w:pPr>
      <w:ind w:left="567"/>
      <w:jc w:val="both"/>
    </w:pPr>
    <w:rPr>
      <w:rFonts w:cs="Arial"/>
      <w:szCs w:val="20"/>
    </w:rPr>
  </w:style>
  <w:style w:type="character" w:customStyle="1" w:styleId="bodyindentChar">
    <w:name w:val="bodyindent Char"/>
    <w:basedOn w:val="DefaultParagraphFont"/>
    <w:link w:val="bodyindent"/>
    <w:rsid w:val="0044080C"/>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 Id="rId6" Type="http://schemas.openxmlformats.org/officeDocument/2006/relationships/image" Target="media/image30.jpeg"/><Relationship Id="rId5" Type="http://schemas.openxmlformats.org/officeDocument/2006/relationships/oleObject" Target="embeddings/oleObject2.bin"/><Relationship Id="rId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D6BE2-7FF0-4B1C-A51E-BC3EE629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2437</Words>
  <Characters>13729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Memorandum</vt:lpstr>
    </vt:vector>
  </TitlesOfParts>
  <Company>Kaipara District Council</Company>
  <LinksUpToDate>false</LinksUpToDate>
  <CharactersWithSpaces>16134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Duncan McAulay</dc:creator>
  <cp:lastModifiedBy>Sean Mahoney</cp:lastModifiedBy>
  <cp:revision>2</cp:revision>
  <cp:lastPrinted>2016-06-07T19:51:00Z</cp:lastPrinted>
  <dcterms:created xsi:type="dcterms:W3CDTF">2017-08-04T04:50:00Z</dcterms:created>
  <dcterms:modified xsi:type="dcterms:W3CDTF">2017-08-04T04:50:00Z</dcterms:modified>
</cp:coreProperties>
</file>